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25B4" w14:textId="77777777" w:rsidR="008B14B2" w:rsidRPr="008B2CB7" w:rsidRDefault="008B14B2" w:rsidP="008B14B2">
      <w:pPr>
        <w:spacing w:before="100" w:beforeAutospacing="1" w:after="100" w:afterAutospacing="1" w:line="240" w:lineRule="auto"/>
        <w:jc w:val="right"/>
        <w:outlineLvl w:val="0"/>
        <w:rPr>
          <w:rFonts w:ascii="Calibri" w:eastAsia="Times New Roman" w:hAnsi="Calibri" w:cs="Calibri"/>
          <w:b/>
          <w:bCs/>
          <w:kern w:val="36"/>
          <w:sz w:val="48"/>
          <w:szCs w:val="48"/>
          <w:lang w:eastAsia="en-GB"/>
          <w14:ligatures w14:val="none"/>
        </w:rPr>
      </w:pPr>
      <w:r w:rsidRPr="008B2CB7">
        <w:rPr>
          <w:rFonts w:ascii="Calibri" w:eastAsia="Times New Roman" w:hAnsi="Calibri" w:cs="Calibri"/>
          <w:b/>
          <w:bCs/>
          <w:noProof/>
          <w:kern w:val="36"/>
          <w:sz w:val="48"/>
          <w:szCs w:val="48"/>
          <w:lang w:eastAsia="en-GB"/>
        </w:rPr>
        <w:drawing>
          <wp:inline distT="0" distB="0" distL="0" distR="0" wp14:anchorId="4DAA7A5A" wp14:editId="2F24D13C">
            <wp:extent cx="2032143" cy="689810"/>
            <wp:effectExtent l="0" t="0" r="6350" b="0"/>
            <wp:docPr id="193629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97980" name="Picture 1936297980"/>
                    <pic:cNvPicPr/>
                  </pic:nvPicPr>
                  <pic:blipFill>
                    <a:blip r:embed="rId8">
                      <a:extLst>
                        <a:ext uri="{28A0092B-C50C-407E-A947-70E740481C1C}">
                          <a14:useLocalDpi xmlns:a14="http://schemas.microsoft.com/office/drawing/2010/main" val="0"/>
                        </a:ext>
                      </a:extLst>
                    </a:blip>
                    <a:stretch>
                      <a:fillRect/>
                    </a:stretch>
                  </pic:blipFill>
                  <pic:spPr>
                    <a:xfrm>
                      <a:off x="0" y="0"/>
                      <a:ext cx="2045035" cy="694186"/>
                    </a:xfrm>
                    <a:prstGeom prst="rect">
                      <a:avLst/>
                    </a:prstGeom>
                  </pic:spPr>
                </pic:pic>
              </a:graphicData>
            </a:graphic>
          </wp:inline>
        </w:drawing>
      </w:r>
    </w:p>
    <w:p w14:paraId="094CFFF5" w14:textId="77777777" w:rsidR="008B14B2" w:rsidRPr="008B2CB7" w:rsidRDefault="008B14B2" w:rsidP="00856570">
      <w:pPr>
        <w:spacing w:before="100" w:beforeAutospacing="1" w:after="100" w:afterAutospacing="1" w:line="240" w:lineRule="auto"/>
        <w:outlineLvl w:val="0"/>
        <w:rPr>
          <w:rFonts w:ascii="Calibri" w:eastAsia="Times New Roman" w:hAnsi="Calibri" w:cs="Calibri"/>
          <w:b/>
          <w:bCs/>
          <w:kern w:val="36"/>
          <w:sz w:val="48"/>
          <w:szCs w:val="48"/>
          <w:lang w:eastAsia="en-GB"/>
          <w14:ligatures w14:val="none"/>
        </w:rPr>
      </w:pPr>
    </w:p>
    <w:p w14:paraId="4ABD727C" w14:textId="35A1552A" w:rsidR="00856570" w:rsidRPr="008B2CB7" w:rsidRDefault="00856570" w:rsidP="008B2CB7">
      <w:pPr>
        <w:spacing w:before="100" w:beforeAutospacing="1" w:after="100" w:afterAutospacing="1" w:line="240" w:lineRule="auto"/>
        <w:outlineLvl w:val="0"/>
        <w:rPr>
          <w:rFonts w:ascii="Calibri" w:eastAsia="Times New Roman" w:hAnsi="Calibri" w:cs="Calibri"/>
          <w:b/>
          <w:bCs/>
          <w:kern w:val="36"/>
          <w:sz w:val="48"/>
          <w:szCs w:val="48"/>
          <w:lang w:eastAsia="en-GB"/>
          <w14:ligatures w14:val="none"/>
        </w:rPr>
      </w:pPr>
      <w:r w:rsidRPr="008B2CB7">
        <w:rPr>
          <w:rFonts w:ascii="Calibri" w:eastAsia="Times New Roman" w:hAnsi="Calibri" w:cs="Calibri"/>
          <w:b/>
          <w:bCs/>
          <w:kern w:val="36"/>
          <w:sz w:val="48"/>
          <w:szCs w:val="48"/>
          <w:lang w:eastAsia="en-GB"/>
          <w14:ligatures w14:val="none"/>
        </w:rPr>
        <w:t>DWP Call for Evidence: Young People and Work</w:t>
      </w:r>
    </w:p>
    <w:p w14:paraId="5F32C1CD" w14:textId="2D81DDEE" w:rsidR="008B2CB7" w:rsidRPr="008B2CB7" w:rsidRDefault="008B2CB7"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Pinpoint is Cambridgeshire’s Parent Carer Forum.</w:t>
      </w:r>
    </w:p>
    <w:p w14:paraId="7A5EC924" w14:textId="44AF8F56" w:rsidR="008B2CB7" w:rsidRPr="008B2CB7" w:rsidRDefault="008B2CB7" w:rsidP="00856570">
      <w:pPr>
        <w:spacing w:before="100" w:beforeAutospacing="1" w:after="100" w:afterAutospacing="1" w:line="240" w:lineRule="auto"/>
        <w:outlineLvl w:val="1"/>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We are submitting on behalf of Cambridgeshire’s families who have children with additional needs, special educational needs and or disabilities. </w:t>
      </w:r>
    </w:p>
    <w:p w14:paraId="3D23681E"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3C85C2D1">
          <v:rect id="_x0000_i1025" style="width:0;height:1.5pt" o:hralign="center" o:hrstd="t" o:hr="t" fillcolor="#a0a0a0" stroked="f"/>
        </w:pict>
      </w:r>
    </w:p>
    <w:p w14:paraId="125E09F6"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QUESTION 1</w:t>
      </w:r>
    </w:p>
    <w:p w14:paraId="3CB0EBA6" w14:textId="77777777" w:rsidR="00856570" w:rsidRPr="008B2CB7" w:rsidRDefault="00856570" w:rsidP="00856570">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8B2CB7">
        <w:rPr>
          <w:rFonts w:ascii="Calibri" w:eastAsia="Times New Roman" w:hAnsi="Calibri" w:cs="Calibri"/>
          <w:b/>
          <w:bCs/>
          <w:kern w:val="0"/>
          <w:sz w:val="27"/>
          <w:szCs w:val="27"/>
          <w:lang w:eastAsia="en-GB"/>
          <w14:ligatures w14:val="none"/>
        </w:rPr>
        <w:t>What are the main barriers preventing young people from entering, remaining in, or progressing in work?</w:t>
      </w:r>
    </w:p>
    <w:p w14:paraId="28BF49A7"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From the perspective of parent carers, the barriers preventing young people from entering, remaining in, or progressing in work are not sudden, individual or mysterious. They are structural, cumulative and entirely predictable. They are not rooted in a lack of aspiration or willingness to work, but in a system that repeatedly fails to intervene early, fails to plan across transitions, and relies heavily on parental capacity to compensate for systemic gaps.</w:t>
      </w:r>
    </w:p>
    <w:p w14:paraId="4D7953D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are clear that disengagement does not begin at 18, when a young person turns 21, or when DWP first becomes involved. Disengagement begins years earlier, often in childhood and secondary school, when needs are missed, support is delayed, thresholds are raised, and children are expected to cope without the emotional regulation skills, therapeutic input, reasonable adjustments or stable relationships needed to do so.</w:t>
      </w:r>
    </w:p>
    <w:p w14:paraId="42919C6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repeatedly contrast the experience of young people in specialist settings — where Preparing for Adulthood (PfA) is often embedded into daily practice — with the experience of those educated in mainstream schools. Mainstream settings, parents say, focus heavily on academic outcomes, with far less attention to emotional readiness, independence, life skills or what happens once education ends. As a result, many young people leave education academically “qualified” but practically and emotionally unprepared for adulthood or work.</w:t>
      </w:r>
    </w:p>
    <w:p w14:paraId="672A9BB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By the time many young people reach employment services, the “problem” is no longer simply employability. It is often years of lost confidence, lost routine, disrupted sleep patterns, reduced social contact, anxiety, trauma, poor mental health, and a deep sense of failure. At that point, employment support — however well intentioned — is trying to rebuild what has already been lost.</w:t>
      </w:r>
    </w:p>
    <w:p w14:paraId="68A5D74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 carers describe this as a connected chain of failure:</w:t>
      </w:r>
    </w:p>
    <w:p w14:paraId="3D40F0C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missed early need → delayed assessment → delayed or absent plan/support → disrupted education</w:t>
      </w:r>
      <w:r w:rsidRPr="008B2CB7">
        <w:rPr>
          <w:rFonts w:ascii="Calibri" w:eastAsia="Times New Roman" w:hAnsi="Calibri" w:cs="Calibri"/>
          <w:b/>
          <w:bCs/>
          <w:kern w:val="0"/>
          <w:lang w:eastAsia="en-GB"/>
          <w14:ligatures w14:val="none"/>
        </w:rPr>
        <w:t xml:space="preserve"> (including alternative provision) → poor post-16 pathways → transport barriers → isolation → late, generic employment support → long-term inactivity</w:t>
      </w:r>
    </w:p>
    <w:p w14:paraId="7F60B86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This evidence focuses particularly on young people educated in mainstream settings with additional needs, including those with emerging neurodivergence, mental health needs and communication differences, and those whose needs are judged not to be severe enough to trigger specialist pathways early. Parents describe these young people as falling into the </w:t>
      </w:r>
      <w:r w:rsidRPr="008B2CB7">
        <w:rPr>
          <w:rFonts w:ascii="Calibri" w:eastAsia="Times New Roman" w:hAnsi="Calibri" w:cs="Calibri"/>
          <w:i/>
          <w:iCs/>
          <w:kern w:val="0"/>
          <w:lang w:eastAsia="en-GB"/>
          <w14:ligatures w14:val="none"/>
        </w:rPr>
        <w:t>“shadowlands” of need</w:t>
      </w:r>
      <w:r w:rsidRPr="008B2CB7">
        <w:rPr>
          <w:rFonts w:ascii="Calibri" w:eastAsia="Times New Roman" w:hAnsi="Calibri" w:cs="Calibri"/>
          <w:kern w:val="0"/>
          <w:lang w:eastAsia="en-GB"/>
          <w14:ligatures w14:val="none"/>
        </w:rPr>
        <w:t xml:space="preserve"> — appearing capable, academically able or socially compliant, but highly vulnerable once the protective structure of school is removed.</w:t>
      </w:r>
    </w:p>
    <w:p w14:paraId="3C906D7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Many of these young people have learned to mask their difficulties </w:t>
      </w:r>
      <w:proofErr w:type="gramStart"/>
      <w:r w:rsidRPr="008B2CB7">
        <w:rPr>
          <w:rFonts w:ascii="Calibri" w:eastAsia="Times New Roman" w:hAnsi="Calibri" w:cs="Calibri"/>
          <w:kern w:val="0"/>
          <w:lang w:eastAsia="en-GB"/>
          <w14:ligatures w14:val="none"/>
        </w:rPr>
        <w:t>in order to</w:t>
      </w:r>
      <w:proofErr w:type="gramEnd"/>
      <w:r w:rsidRPr="008B2CB7">
        <w:rPr>
          <w:rFonts w:ascii="Calibri" w:eastAsia="Times New Roman" w:hAnsi="Calibri" w:cs="Calibri"/>
          <w:kern w:val="0"/>
          <w:lang w:eastAsia="en-GB"/>
          <w14:ligatures w14:val="none"/>
        </w:rPr>
        <w:t xml:space="preserve"> cope. Parents are clear that masking comes at a significant cost: exhaustion, anxiety, increased suggestibility and vulnerability to negative influence once they enter less supervised environments. Parents stress that apparent capability should not be mistaken for resilience.</w:t>
      </w:r>
    </w:p>
    <w:p w14:paraId="0BC5354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recognise that while special schools often have clearer systems and embedded PfA work, young people leaving specialist settings are still far less likely to enter employment — not because of a failure of young people or families, but because of structural labour-market barriers and the lack of sustained supported pathways. In both mainstream and specialist routes, the system repeatedly fails to carry responsibility forward across transitions.</w:t>
      </w:r>
    </w:p>
    <w:p w14:paraId="279A52C4"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728FA3F7">
          <v:rect id="_x0000_i1026" style="width:0;height:1.5pt" o:hralign="center" o:hrstd="t" o:hr="t" fillcolor="#a0a0a0" stroked="f"/>
        </w:pict>
      </w:r>
    </w:p>
    <w:p w14:paraId="6665FED8"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 Early unmet need and delayed intervention (the system waits for crisis)</w:t>
      </w:r>
    </w:p>
    <w:p w14:paraId="71EE95E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One of the most significant barriers identified by parent carers is the lack of early intervention to support emotional regulation, mental health, learning needs and coping skills during childhood. Parents consistently report that support is offered only once a child is already in crisis, rather than at the point where early help could prevent escalation.</w:t>
      </w:r>
    </w:p>
    <w:p w14:paraId="68F9E5A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the absence of funding for early emotional support, teaching assistant capacity, and preventative alternative provision that could help children develop coping skills while remaining engaged with school. One parent told us:</w:t>
      </w:r>
    </w:p>
    <w:p w14:paraId="55EB578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“Lack of funding for early support, whether emotional support, TA support, alternative provision outside of school to support a child to gain the skills to cope in school.”</w:t>
      </w:r>
    </w:p>
    <w:p w14:paraId="4089FAE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are clear that the lack of early support does not merely create distress — it creates long-term barriers to employment. Children who are not helped to cope early are more likely to disengage, and once disengagement begins, it becomes a pattern of avoidance, isolation and loss of confidence that continues into adulthood.</w:t>
      </w:r>
    </w:p>
    <w:p w14:paraId="086AA15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also describe how the system relies heavily on short, time-limited interventions — four weeks here, six weeks there — that may reassure services but do not provide sustained, relational support to the child. Often, the child is not even directly supported until difficulties have escalated significantly.</w:t>
      </w:r>
    </w:p>
    <w:p w14:paraId="7DBB8BDF"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0B9224FB">
          <v:rect id="_x0000_i1027" style="width:0;height:1.5pt" o:hralign="center" o:hrstd="t" o:hr="t" fillcolor="#a0a0a0" stroked="f"/>
        </w:pict>
      </w:r>
    </w:p>
    <w:p w14:paraId="1EF1D5FC"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lastRenderedPageBreak/>
        <w:t>2. Delays in assessment and EHCPs arriving too late (damage done before support starts)</w:t>
      </w:r>
    </w:p>
    <w:p w14:paraId="3EAAF4A5"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repeatedly identify delays in assessment — particularly during secondary school — as a major structural barrier. Long waits for autism assessments, ADHD assessments and mental health pathways are compounded by further delays for titration and medication after diagnosis.</w:t>
      </w:r>
    </w:p>
    <w:p w14:paraId="3F783E7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One parent explained:</w:t>
      </w:r>
    </w:p>
    <w:p w14:paraId="030099D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“With children waiting anything from 3 years minimum for an ADHD assessment it is too long. By the time children get a referral they are usually already not coping for the evidence to be accepted.”</w:t>
      </w:r>
    </w:p>
    <w:p w14:paraId="4919D12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a system where children must deteriorate to meet thresholds. As a result, EHCPs often arrive after disengagement has already occurred:</w:t>
      </w:r>
    </w:p>
    <w:p w14:paraId="7E7A748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“EHCPs take too long and by the time my child finally got the draft it was too late and he was out of school.”</w:t>
      </w:r>
    </w:p>
    <w:p w14:paraId="3AD647D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Another parent explained the long-term cost of this delay:</w:t>
      </w:r>
    </w:p>
    <w:p w14:paraId="498E3435"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“Instead of him having been given the skills to cope at school at an early age, at a point where he was receptive to being helped, he is now shut down and in crisis. It will cost a lot more in MH support and alternative provision.”</w:t>
      </w:r>
    </w:p>
    <w:p w14:paraId="6F75A4D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highlight that SENCOs frequently recognise need early but are overwhelmed by paperwork and capacity constraints:</w:t>
      </w:r>
    </w:p>
    <w:p w14:paraId="0F412F1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“If there was sufficient funding for SENCOs, they could work on interventions as well as the extensive amount of paperwork they have and support all children earlier, not just those in crisis.”</w:t>
      </w:r>
    </w:p>
    <w:p w14:paraId="52B913C5"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When EHCPs arrive too late — or not at all — young people enter adulthood without recognised need, planning or support, creating a direct pipeline into later economic inactivity.</w:t>
      </w:r>
    </w:p>
    <w:p w14:paraId="21385B2A"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00A17A8B">
          <v:rect id="_x0000_i1028" style="width:0;height:1.5pt" o:hralign="center" o:hrstd="t" o:hr="t" fillcolor="#a0a0a0" stroked="f"/>
        </w:pict>
      </w:r>
    </w:p>
    <w:p w14:paraId="0A0E11A2"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3. Negative secondary school experiences, EBSA and declining mental health</w:t>
      </w:r>
    </w:p>
    <w:p w14:paraId="58C7303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repeatedly describe secondary school as the point where things begin to unravel for many young people with additional needs in mainstream settings. Bullying, unmet SEND, repeated failure and social exclusion are common experiences.</w:t>
      </w:r>
    </w:p>
    <w:p w14:paraId="6C92A3C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report a growing number of high-achieving young people developing Emotionally Based School Avoidance (EBSA) as expectations increase. Academic success does not protect against anxiety; in many cases it intensifies it as responsibility and pressure grow.</w:t>
      </w:r>
    </w:p>
    <w:p w14:paraId="50A2AAD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told us:</w:t>
      </w:r>
    </w:p>
    <w:p w14:paraId="0B7FE86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“Many young people do not have positive, supportive and successful secondary school experiences.”</w:t>
      </w:r>
    </w:p>
    <w:p w14:paraId="4502533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Another parent shared:</w:t>
      </w:r>
    </w:p>
    <w:p w14:paraId="053E27A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“My son is 15yrs. He has situational mutism amongst other things. This means people expect more of him than he </w:t>
      </w:r>
      <w:proofErr w:type="gramStart"/>
      <w:r w:rsidRPr="008B2CB7">
        <w:rPr>
          <w:rFonts w:ascii="Calibri" w:eastAsia="Times New Roman" w:hAnsi="Calibri" w:cs="Calibri"/>
          <w:kern w:val="0"/>
          <w:lang w:eastAsia="en-GB"/>
          <w14:ligatures w14:val="none"/>
        </w:rPr>
        <w:t>is able to</w:t>
      </w:r>
      <w:proofErr w:type="gramEnd"/>
      <w:r w:rsidRPr="008B2CB7">
        <w:rPr>
          <w:rFonts w:ascii="Calibri" w:eastAsia="Times New Roman" w:hAnsi="Calibri" w:cs="Calibri"/>
          <w:kern w:val="0"/>
          <w:lang w:eastAsia="en-GB"/>
          <w14:ligatures w14:val="none"/>
        </w:rPr>
        <w:t xml:space="preserve"> do. This really worries me.”</w:t>
      </w:r>
    </w:p>
    <w:p w14:paraId="3C8371D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progressive withdrawal: first from lessons, then peers, then school, then the wider world. By the time education ends, disengagement is often entrenched and accompanied by trauma, fatigue and a loss of trust in systems.</w:t>
      </w:r>
    </w:p>
    <w:p w14:paraId="19B2B526"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4DE6D34D">
          <v:rect id="_x0000_i1029" style="width:0;height:1.5pt" o:hralign="center" o:hrstd="t" o:hr="t" fillcolor="#a0a0a0" stroked="f"/>
        </w:pict>
      </w:r>
    </w:p>
    <w:p w14:paraId="77DC3231"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4. A system that focuses on parents rather than the child</w:t>
      </w:r>
    </w:p>
    <w:p w14:paraId="557E754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consistently describe an over-reliance on parent-focused interventions rather than direct support for children. Parenting courses and advice are frequently offered while the child remains unseen or unsupported.</w:t>
      </w:r>
    </w:p>
    <w:p w14:paraId="6F65881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One parent told us:</w:t>
      </w:r>
    </w:p>
    <w:p w14:paraId="2522EB1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“There isn't enough early intervention in mental health services, with a huge focus on working with parents and not assessing what is going on for the child.”</w:t>
      </w:r>
    </w:p>
    <w:p w14:paraId="47A2B50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Another said:</w:t>
      </w:r>
    </w:p>
    <w:p w14:paraId="480823F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 want to be a mum, not just his therapist.”</w:t>
      </w:r>
    </w:p>
    <w:p w14:paraId="7B59753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emphasise that not all families can fill this gap. Reliance on parental capacity embeds inequality and creates invisible gatekeepers to support.</w:t>
      </w:r>
    </w:p>
    <w:p w14:paraId="31F232FE"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2B4522A4">
          <v:rect id="_x0000_i1030" style="width:0;height:1.5pt" o:hralign="center" o:hrstd="t" o:hr="t" fillcolor="#a0a0a0" stroked="f"/>
        </w:pict>
      </w:r>
    </w:p>
    <w:p w14:paraId="339B11B7"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5. Alternative provision and the loss of preparation for adulthood</w:t>
      </w:r>
    </w:p>
    <w:p w14:paraId="5F03725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alternative provision as increasingly common but variable in quality and focus. Reduced hours, fragmented delivery and limited access to recognised qualifications mean many young people leave compulsory education without the skills, stamina or confidence needed for work.</w:t>
      </w:r>
    </w:p>
    <w:p w14:paraId="22468425"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note that alternative provision is often therapeutic rather than preparatory for adult life:</w:t>
      </w:r>
    </w:p>
    <w:p w14:paraId="064841A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“Alternative provision is often more therapeutic than designed to help them transition into an adult working world.”</w:t>
      </w:r>
    </w:p>
    <w:p w14:paraId="1D0C799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also describe a lack of suitable post-16 provision for those with moderate or fluctuating needs — particularly those who do not qualify for specialist college funding.</w:t>
      </w:r>
    </w:p>
    <w:p w14:paraId="02A082D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“My daughter is in year 11 and I haven't got a clue where she is going to go next year, the choice seems to be pretty slim, I'm already stressing so much.”</w:t>
      </w:r>
    </w:p>
    <w:p w14:paraId="62C88A2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“My son is in year 12 — it’s been a challenge to move from secondary to FE.”</w:t>
      </w:r>
    </w:p>
    <w:p w14:paraId="4268293F"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pict w14:anchorId="164EC193">
          <v:rect id="_x0000_i1031" style="width:0;height:1.5pt" o:hralign="center" o:hrstd="t" o:hr="t" fillcolor="#a0a0a0" stroked="f"/>
        </w:pict>
      </w:r>
    </w:p>
    <w:p w14:paraId="31034023"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6. Careers advice that does not reflect SEND realities</w:t>
      </w:r>
    </w:p>
    <w:p w14:paraId="64C047E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consistently state that careers advice for SEND young people is inappropriate and overly focused on academic achievement. It rarely considers what happens when a young person leaves the familiar structure of school and enters the wider world.</w:t>
      </w:r>
    </w:p>
    <w:p w14:paraId="3F93EDF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 think schools need to know about this as they haven’t a clue and in mainstream careers advice is unsuitable.”</w:t>
      </w:r>
    </w:p>
    <w:p w14:paraId="291D16A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Careers discussions often fail to address SEND-related needs such as anxiety, fatigue, executive functioning, communication differences or sensory sensitivities.</w:t>
      </w:r>
    </w:p>
    <w:p w14:paraId="5BFA595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also describe confusion around capacity and involvement in decision-making:</w:t>
      </w:r>
    </w:p>
    <w:p w14:paraId="2E42F8B6"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 am wondering at what point do we involve him in EHCP meetings and more detailed discussion about his needs? I know it will come but when?”</w:t>
      </w:r>
    </w:p>
    <w:p w14:paraId="5A4C333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 feel there is so much confusion about capacity. Some professionals seem to feel that we are ‘preventing’ our child from developing.”</w:t>
      </w:r>
    </w:p>
    <w:p w14:paraId="38566BD3"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6664EFA1">
          <v:rect id="_x0000_i1032" style="width:0;height:1.5pt" o:hralign="center" o:hrstd="t" o:hr="t" fillcolor="#a0a0a0" stroked="f"/>
        </w:pict>
      </w:r>
    </w:p>
    <w:p w14:paraId="66734E20"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7. Missing “soft skills” and the reality of work</w:t>
      </w:r>
    </w:p>
    <w:p w14:paraId="7088FE9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emphasise that young people leave education without being taught the unspoken skills needed to sustain employment, including:</w:t>
      </w:r>
    </w:p>
    <w:p w14:paraId="529C9078" w14:textId="77777777" w:rsidR="00856570" w:rsidRPr="008B2CB7" w:rsidRDefault="00856570" w:rsidP="00856570">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understanding workplace norms</w:t>
      </w:r>
    </w:p>
    <w:p w14:paraId="5B5F37B7" w14:textId="77777777" w:rsidR="00856570" w:rsidRPr="008B2CB7" w:rsidRDefault="00856570" w:rsidP="00856570">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coping with changes to routine</w:t>
      </w:r>
    </w:p>
    <w:p w14:paraId="6EE94570" w14:textId="77777777" w:rsidR="00856570" w:rsidRPr="008B2CB7" w:rsidRDefault="00856570" w:rsidP="00856570">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problem-solving when things go wrong</w:t>
      </w:r>
    </w:p>
    <w:p w14:paraId="0619D15A" w14:textId="77777777" w:rsidR="00856570" w:rsidRPr="008B2CB7" w:rsidRDefault="00856570" w:rsidP="00856570">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managing social and sensory environments</w:t>
      </w:r>
    </w:p>
    <w:p w14:paraId="2781205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Schools provide routine and predictability; employment does not. This gap is rarely addressed through PfA in mainstream education.</w:t>
      </w:r>
    </w:p>
    <w:p w14:paraId="1FC1AD3A"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4949DB6A">
          <v:rect id="_x0000_i1033" style="width:0;height:1.5pt" o:hralign="center" o:hrstd="t" o:hr="t" fillcolor="#a0a0a0" stroked="f"/>
        </w:pict>
      </w:r>
    </w:p>
    <w:p w14:paraId="641F4FD4"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8. Employers, perceptions and what works</w:t>
      </w:r>
    </w:p>
    <w:p w14:paraId="204655F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recognise that many employers want to be inclusive but perceive employing SEND young people as additional work, particularly where 1:1 support is required.</w:t>
      </w:r>
    </w:p>
    <w:p w14:paraId="455D291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highlighted positive examples where employers have implemented neurodiversity programmes, alternative workspaces, quieter environments and flexible working patterns. These demonstrate that SEND young people can thrive when work is adapted — but such approaches are not yet mainstream.</w:t>
      </w:r>
    </w:p>
    <w:p w14:paraId="21FF40D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Parents stress the need for incentives, intermediaries and workplace-based support (the equivalent of a “TA in the workplace”) to make employment sustainable.</w:t>
      </w:r>
    </w:p>
    <w:p w14:paraId="58662807"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317348E0">
          <v:rect id="_x0000_i1034" style="width:0;height:1.5pt" o:hralign="center" o:hrstd="t" o:hr="t" fillcolor="#a0a0a0" stroked="f"/>
        </w:pict>
      </w:r>
    </w:p>
    <w:p w14:paraId="621A84C9"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9. Transport, part-time work and parental fragility</w:t>
      </w:r>
    </w:p>
    <w:p w14:paraId="2E64F09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Transport remains a fundamental barrier, particularly for young people on part-time timetables. Parents are frequently expected to fill gaps, putting their own employment at risk.</w:t>
      </w:r>
    </w:p>
    <w:p w14:paraId="716F3F2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this as a systemic issue, not an individual failing.</w:t>
      </w:r>
    </w:p>
    <w:p w14:paraId="53D5A024"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2EBF8B46">
          <v:rect id="_x0000_i1035" style="width:0;height:1.5pt" o:hralign="center" o:hrstd="t" o:hr="t" fillcolor="#a0a0a0" stroked="f"/>
        </w:pict>
      </w:r>
    </w:p>
    <w:p w14:paraId="456D661C"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10. Trauma, recovery and readiness</w:t>
      </w:r>
    </w:p>
    <w:p w14:paraId="10F322A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Many SEND young people leave education traumatised, exhausted and emotionally depleted by their school experience. Parents stress the need for time and structured support to recover before expecting readiness for work.</w:t>
      </w:r>
    </w:p>
    <w:p w14:paraId="5A8447E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strongly support a </w:t>
      </w:r>
      <w:r w:rsidRPr="008B2CB7">
        <w:rPr>
          <w:rFonts w:ascii="Calibri" w:eastAsia="Times New Roman" w:hAnsi="Calibri" w:cs="Calibri"/>
          <w:b/>
          <w:bCs/>
          <w:kern w:val="0"/>
          <w:lang w:eastAsia="en-GB"/>
          <w14:ligatures w14:val="none"/>
        </w:rPr>
        <w:t>bespoke transitional mental health and learning programme</w:t>
      </w:r>
      <w:r w:rsidRPr="008B2CB7">
        <w:rPr>
          <w:rFonts w:ascii="Calibri" w:eastAsia="Times New Roman" w:hAnsi="Calibri" w:cs="Calibri"/>
          <w:kern w:val="0"/>
          <w:lang w:eastAsia="en-GB"/>
          <w14:ligatures w14:val="none"/>
        </w:rPr>
        <w:t>, delivered through colleges or community provision, to support recovery and gradual re-engagement.</w:t>
      </w:r>
    </w:p>
    <w:p w14:paraId="1FC6C1A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“You put into words what we all feel about the information overload you have to try and sort through and still try and help your child.”</w:t>
      </w:r>
    </w:p>
    <w:p w14:paraId="27001CFB"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054EC45D">
          <v:rect id="_x0000_i1036" style="width:0;height:1.5pt" o:hralign="center" o:hrstd="t" o:hr="t" fillcolor="#a0a0a0" stroked="f"/>
        </w:pict>
      </w:r>
    </w:p>
    <w:p w14:paraId="4A647F95"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Parent-carer conclusion to Question 1</w:t>
      </w:r>
    </w:p>
    <w:p w14:paraId="0C7F4C07"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do not see these barriers as isolated issues. They see a connected, predictable system failure that prevents young people from ever reaching the point where work is realistic.</w:t>
      </w:r>
    </w:p>
    <w:p w14:paraId="0A94544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Young people are not failing to engage with employment.</w:t>
      </w:r>
      <w:r w:rsidRPr="008B2CB7">
        <w:rPr>
          <w:rFonts w:ascii="Calibri" w:eastAsia="Times New Roman" w:hAnsi="Calibri" w:cs="Calibri"/>
          <w:kern w:val="0"/>
          <w:lang w:eastAsia="en-GB"/>
          <w14:ligatures w14:val="none"/>
        </w:rPr>
        <w:br/>
        <w:t>They are being systematically prevented from getting there.</w:t>
      </w:r>
    </w:p>
    <w:p w14:paraId="7772EACE"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39CFE5A6">
          <v:rect id="_x0000_i1037" style="width:0;height:1.5pt" o:hralign="center" o:hrstd="t" o:hr="t" fillcolor="#a0a0a0" stroked="f"/>
        </w:pict>
      </w:r>
    </w:p>
    <w:p w14:paraId="0EA6E311"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QUESTION 2</w:t>
      </w:r>
    </w:p>
    <w:p w14:paraId="3361AAF7" w14:textId="77777777" w:rsidR="00856570" w:rsidRPr="008B2CB7" w:rsidRDefault="00856570" w:rsidP="00856570">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8B2CB7">
        <w:rPr>
          <w:rFonts w:ascii="Calibri" w:eastAsia="Times New Roman" w:hAnsi="Calibri" w:cs="Calibri"/>
          <w:b/>
          <w:bCs/>
          <w:kern w:val="0"/>
          <w:sz w:val="27"/>
          <w:szCs w:val="27"/>
          <w:lang w:eastAsia="en-GB"/>
          <w14:ligatures w14:val="none"/>
        </w:rPr>
        <w:t>What changes would most improve outcomes for young people?</w:t>
      </w:r>
    </w:p>
    <w:p w14:paraId="5C33CB2B" w14:textId="77777777" w:rsidR="00856570" w:rsidRPr="008B2CB7" w:rsidRDefault="00856570" w:rsidP="00856570">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8B2CB7">
        <w:rPr>
          <w:rFonts w:ascii="Calibri" w:eastAsia="Times New Roman" w:hAnsi="Calibri" w:cs="Calibri"/>
          <w:b/>
          <w:bCs/>
          <w:kern w:val="0"/>
          <w:sz w:val="27"/>
          <w:szCs w:val="27"/>
          <w:lang w:eastAsia="en-GB"/>
          <w14:ligatures w14:val="none"/>
        </w:rPr>
        <w:t>Parent Carer Forum narrative evidence</w:t>
      </w:r>
    </w:p>
    <w:p w14:paraId="4A0614F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 xml:space="preserve">From the perspective of parent carers, improving outcomes for young people requires a fundamental redesign of how the system understands time, transition, responsibility and risk. </w:t>
      </w:r>
      <w:r w:rsidRPr="008B2CB7">
        <w:rPr>
          <w:rFonts w:ascii="Calibri" w:eastAsia="Times New Roman" w:hAnsi="Calibri" w:cs="Calibri"/>
          <w:kern w:val="0"/>
          <w:lang w:eastAsia="en-GB"/>
          <w14:ligatures w14:val="none"/>
        </w:rPr>
        <w:t>Parents are clear that young people do not suddenly disengage at 18, 21 or 24. Disengagement happens gradually, often over many years, as early needs go unmet, support is delayed, responsibility is passed between services, and no part of the system holds the whole picture.</w:t>
      </w:r>
    </w:p>
    <w:p w14:paraId="665EA76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 xml:space="preserve">By the time the Department for Work and Pensions </w:t>
      </w:r>
      <w:proofErr w:type="gramStart"/>
      <w:r w:rsidRPr="008B2CB7">
        <w:rPr>
          <w:rFonts w:ascii="Calibri" w:eastAsia="Times New Roman" w:hAnsi="Calibri" w:cs="Calibri"/>
          <w:kern w:val="0"/>
          <w:lang w:eastAsia="en-GB"/>
          <w14:ligatures w14:val="none"/>
        </w:rPr>
        <w:t>becomes</w:t>
      </w:r>
      <w:proofErr w:type="gramEnd"/>
      <w:r w:rsidRPr="008B2CB7">
        <w:rPr>
          <w:rFonts w:ascii="Calibri" w:eastAsia="Times New Roman" w:hAnsi="Calibri" w:cs="Calibri"/>
          <w:kern w:val="0"/>
          <w:lang w:eastAsia="en-GB"/>
          <w14:ligatures w14:val="none"/>
        </w:rPr>
        <w:t xml:space="preserve"> involved, many young people are already deeply disengaged from education, isolated from peers, anxious, traumatised, demoralised and lacking the confidence, routine and emotional capacity needed to participate in the world of work. At that stage, even well-intentioned employment support is attempting to rebuild what has already been lost.</w:t>
      </w:r>
    </w:p>
    <w:p w14:paraId="584A428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are unequivocal: </w:t>
      </w:r>
      <w:r w:rsidRPr="008B2CB7">
        <w:rPr>
          <w:rFonts w:ascii="Calibri" w:eastAsia="Times New Roman" w:hAnsi="Calibri" w:cs="Calibri"/>
          <w:b/>
          <w:bCs/>
          <w:kern w:val="0"/>
          <w:lang w:eastAsia="en-GB"/>
          <w14:ligatures w14:val="none"/>
        </w:rPr>
        <w:t>better outcomes are achieved through earlier, sustained, relational support — not increased pressure later</w:t>
      </w:r>
      <w:r w:rsidRPr="008B2CB7">
        <w:rPr>
          <w:rFonts w:ascii="Calibri" w:eastAsia="Times New Roman" w:hAnsi="Calibri" w:cs="Calibri"/>
          <w:kern w:val="0"/>
          <w:lang w:eastAsia="en-GB"/>
          <w14:ligatures w14:val="none"/>
        </w:rPr>
        <w:t>.</w:t>
      </w:r>
    </w:p>
    <w:p w14:paraId="33E678BA"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415F95EF">
          <v:rect id="_x0000_i1038" style="width:0;height:1.5pt" o:hralign="center" o:hrstd="t" o:hr="t" fillcolor="#a0a0a0" stroked="f"/>
        </w:pict>
      </w:r>
    </w:p>
    <w:p w14:paraId="2BB248F2"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 Early intervention must replace crisis-driven intervention</w:t>
      </w:r>
    </w:p>
    <w:p w14:paraId="71A5296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The strongest and most consistent message from parent carers is that </w:t>
      </w:r>
      <w:r w:rsidRPr="008B2CB7">
        <w:rPr>
          <w:rFonts w:ascii="Calibri" w:eastAsia="Times New Roman" w:hAnsi="Calibri" w:cs="Calibri"/>
          <w:b/>
          <w:bCs/>
          <w:kern w:val="0"/>
          <w:lang w:eastAsia="en-GB"/>
          <w14:ligatures w14:val="none"/>
        </w:rPr>
        <w:t>early intervention works</w:t>
      </w:r>
      <w:r w:rsidRPr="008B2CB7">
        <w:rPr>
          <w:rFonts w:ascii="Calibri" w:eastAsia="Times New Roman" w:hAnsi="Calibri" w:cs="Calibri"/>
          <w:kern w:val="0"/>
          <w:lang w:eastAsia="en-GB"/>
          <w14:ligatures w14:val="none"/>
        </w:rPr>
        <w:t>, but it is not sufficiently funded, prioritised or embedded.</w:t>
      </w:r>
    </w:p>
    <w:p w14:paraId="68333FA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a system that repeatedly waits for crisis — emotional, behavioural or mental health — before acting. This applies across SEND support, mental health services, alternative provision and assessment pathways.</w:t>
      </w:r>
    </w:p>
    <w:p w14:paraId="111E73B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“Lack of funding for early support, whether emotional support, TA support, or alternative provision outside of school to help my child gain the skills to cope in school.”</w:t>
      </w:r>
    </w:p>
    <w:p w14:paraId="584AF3B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stress that early intervention must mean </w:t>
      </w:r>
      <w:r w:rsidRPr="008B2CB7">
        <w:rPr>
          <w:rFonts w:ascii="Calibri" w:eastAsia="Times New Roman" w:hAnsi="Calibri" w:cs="Calibri"/>
          <w:b/>
          <w:bCs/>
          <w:kern w:val="0"/>
          <w:lang w:eastAsia="en-GB"/>
          <w14:ligatures w14:val="none"/>
        </w:rPr>
        <w:t>direct support for the child</w:t>
      </w:r>
      <w:r w:rsidRPr="008B2CB7">
        <w:rPr>
          <w:rFonts w:ascii="Calibri" w:eastAsia="Times New Roman" w:hAnsi="Calibri" w:cs="Calibri"/>
          <w:kern w:val="0"/>
          <w:lang w:eastAsia="en-GB"/>
          <w14:ligatures w14:val="none"/>
        </w:rPr>
        <w:t xml:space="preserve">, not solely parenting advice or behaviour-management courses delivered to families. Several </w:t>
      </w:r>
      <w:proofErr w:type="gramStart"/>
      <w:r w:rsidRPr="008B2CB7">
        <w:rPr>
          <w:rFonts w:ascii="Calibri" w:eastAsia="Times New Roman" w:hAnsi="Calibri" w:cs="Calibri"/>
          <w:kern w:val="0"/>
          <w:lang w:eastAsia="en-GB"/>
          <w14:ligatures w14:val="none"/>
        </w:rPr>
        <w:t>parents</w:t>
      </w:r>
      <w:proofErr w:type="gramEnd"/>
      <w:r w:rsidRPr="008B2CB7">
        <w:rPr>
          <w:rFonts w:ascii="Calibri" w:eastAsia="Times New Roman" w:hAnsi="Calibri" w:cs="Calibri"/>
          <w:kern w:val="0"/>
          <w:lang w:eastAsia="en-GB"/>
          <w14:ligatures w14:val="none"/>
        </w:rPr>
        <w:t xml:space="preserve"> express frustration that their parenting was scrutinised while their child’s distress went unassessed and untreated.</w:t>
      </w:r>
    </w:p>
    <w:p w14:paraId="4E74E6C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 was told there is no evidence for working with children but plenty for working with parents — but that is because there is no mental health support for children.”</w:t>
      </w:r>
    </w:p>
    <w:p w14:paraId="75C67A0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are clear that early intervention should include:</w:t>
      </w:r>
    </w:p>
    <w:p w14:paraId="5A44EDB5" w14:textId="77777777" w:rsidR="00856570" w:rsidRPr="008B2CB7" w:rsidRDefault="00856570" w:rsidP="00856570">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therapeutic and emotional support delivered directly to the child</w:t>
      </w:r>
    </w:p>
    <w:p w14:paraId="21602062" w14:textId="77777777" w:rsidR="00856570" w:rsidRPr="008B2CB7" w:rsidRDefault="00856570" w:rsidP="00856570">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support to build emotional regulation and coping skills</w:t>
      </w:r>
    </w:p>
    <w:p w14:paraId="7FC70B17" w14:textId="77777777" w:rsidR="00856570" w:rsidRPr="008B2CB7" w:rsidRDefault="00856570" w:rsidP="00856570">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SENCO capacity to deliver interventions rather than only manage paperwork</w:t>
      </w:r>
    </w:p>
    <w:p w14:paraId="12017A1A" w14:textId="77777777" w:rsidR="00856570" w:rsidRPr="008B2CB7" w:rsidRDefault="00856570" w:rsidP="00856570">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preventative use of alternative provision, not just as a response to breakdown</w:t>
      </w:r>
    </w:p>
    <w:p w14:paraId="5DB5FDF4"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“If there were sufficient funding for SENCOs, they could work on interventions as well as the extensive amount of paperwork, instead of only supporting those already in crisis.”</w:t>
      </w:r>
    </w:p>
    <w:p w14:paraId="29DC508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do not see early intervention as optional or aspirational. They see it as </w:t>
      </w:r>
      <w:r w:rsidRPr="008B2CB7">
        <w:rPr>
          <w:rFonts w:ascii="Calibri" w:eastAsia="Times New Roman" w:hAnsi="Calibri" w:cs="Calibri"/>
          <w:b/>
          <w:bCs/>
          <w:kern w:val="0"/>
          <w:lang w:eastAsia="en-GB"/>
          <w14:ligatures w14:val="none"/>
        </w:rPr>
        <w:t>the single biggest determinant of whether their child will ever be ready for adulthood and employment</w:t>
      </w:r>
      <w:r w:rsidRPr="008B2CB7">
        <w:rPr>
          <w:rFonts w:ascii="Calibri" w:eastAsia="Times New Roman" w:hAnsi="Calibri" w:cs="Calibri"/>
          <w:kern w:val="0"/>
          <w:lang w:eastAsia="en-GB"/>
          <w14:ligatures w14:val="none"/>
        </w:rPr>
        <w:t>.</w:t>
      </w:r>
    </w:p>
    <w:p w14:paraId="040B4C67"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0B07C2C0">
          <v:rect id="_x0000_i1039" style="width:0;height:1.5pt" o:hralign="center" o:hrstd="t" o:hr="t" fillcolor="#a0a0a0" stroked="f"/>
        </w:pict>
      </w:r>
    </w:p>
    <w:p w14:paraId="407EC5B6"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2. Timely assessment and EHCPs that arrive before damage is done</w:t>
      </w:r>
    </w:p>
    <w:p w14:paraId="5A73BD1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consistently report that late diagnosis and delayed EHCPs actively worsen long-term outcomes.</w:t>
      </w:r>
    </w:p>
    <w:p w14:paraId="252A23B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Long waits for autism, ADHD and mental health assessments mean that children deteriorate before thresholds are met. By the time an EHCP is issued, the opportunity to shape a positive educational experience has often passed.</w:t>
      </w:r>
    </w:p>
    <w:p w14:paraId="5CA96086"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“By the time my child finally got the draft EHCP, it was too late — he was already out of school.”</w:t>
      </w:r>
    </w:p>
    <w:p w14:paraId="68E8D93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want:</w:t>
      </w:r>
    </w:p>
    <w:p w14:paraId="47E2A37F" w14:textId="77777777" w:rsidR="00856570" w:rsidRPr="008B2CB7" w:rsidRDefault="00856570" w:rsidP="00856570">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assessments early enough to shape education and prevent disengagement</w:t>
      </w:r>
    </w:p>
    <w:p w14:paraId="5CA70AAA" w14:textId="77777777" w:rsidR="00856570" w:rsidRPr="008B2CB7" w:rsidRDefault="00856570" w:rsidP="00856570">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EHCPs issued while children are still in school and receptive to support</w:t>
      </w:r>
    </w:p>
    <w:p w14:paraId="0F50F932" w14:textId="77777777" w:rsidR="00856570" w:rsidRPr="008B2CB7" w:rsidRDefault="00856570" w:rsidP="00856570">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funding and planning that continue until transition is genuinely secure</w:t>
      </w:r>
    </w:p>
    <w:p w14:paraId="3074BA0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also highlight a significant cohort of young people who should have had EHCPs but never receive them due to delays. These young people enter post-16 education or adulthood without recognised needs, planning or support — despite having clear vulnerabilities.</w:t>
      </w:r>
    </w:p>
    <w:p w14:paraId="091231C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view this as a </w:t>
      </w:r>
      <w:r w:rsidRPr="00D33835">
        <w:rPr>
          <w:rFonts w:ascii="Calibri" w:eastAsia="Times New Roman" w:hAnsi="Calibri" w:cs="Calibri"/>
          <w:kern w:val="0"/>
          <w:lang w:eastAsia="en-GB"/>
          <w14:ligatures w14:val="none"/>
        </w:rPr>
        <w:t>preventable pipeline into long-term economic inactivity.</w:t>
      </w:r>
    </w:p>
    <w:p w14:paraId="1A0B9953"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43C6F9D2">
          <v:rect id="_x0000_i1040" style="width:0;height:1.5pt" o:hralign="center" o:hrstd="t" o:hr="t" fillcolor="#a0a0a0" stroked="f"/>
        </w:pict>
      </w:r>
    </w:p>
    <w:p w14:paraId="4A05C152"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3. Preparing for Adulthood must be real, practical and embedded — not theoretical</w:t>
      </w:r>
    </w:p>
    <w:p w14:paraId="59D63B2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repeatedly tell us that </w:t>
      </w:r>
      <w:r w:rsidRPr="008B2CB7">
        <w:rPr>
          <w:rFonts w:ascii="Calibri" w:eastAsia="Times New Roman" w:hAnsi="Calibri" w:cs="Calibri"/>
          <w:b/>
          <w:bCs/>
          <w:kern w:val="0"/>
          <w:lang w:eastAsia="en-GB"/>
          <w14:ligatures w14:val="none"/>
        </w:rPr>
        <w:t>Preparing for Adulthood (PfA) is embedded in specialist settings but largely absent in mainstream education</w:t>
      </w:r>
      <w:r w:rsidRPr="008B2CB7">
        <w:rPr>
          <w:rFonts w:ascii="Calibri" w:eastAsia="Times New Roman" w:hAnsi="Calibri" w:cs="Calibri"/>
          <w:kern w:val="0"/>
          <w:lang w:eastAsia="en-GB"/>
          <w14:ligatures w14:val="none"/>
        </w:rPr>
        <w:t>.</w:t>
      </w:r>
    </w:p>
    <w:p w14:paraId="0AA85B9B"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In mainstream schools, PfA may appear in paperwork or annual reviews, but parents describe:</w:t>
      </w:r>
    </w:p>
    <w:p w14:paraId="77CEF643" w14:textId="77777777" w:rsidR="00856570" w:rsidRPr="008B2CB7" w:rsidRDefault="00856570" w:rsidP="00856570">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no meaningful curriculum delivery</w:t>
      </w:r>
    </w:p>
    <w:p w14:paraId="59CA67F1" w14:textId="77777777" w:rsidR="00856570" w:rsidRPr="008B2CB7" w:rsidRDefault="00856570" w:rsidP="00856570">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no practical skill-building</w:t>
      </w:r>
    </w:p>
    <w:p w14:paraId="45026F47" w14:textId="77777777" w:rsidR="00856570" w:rsidRPr="008B2CB7" w:rsidRDefault="00856570" w:rsidP="00856570">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no structured exposure to real-world environments</w:t>
      </w:r>
    </w:p>
    <w:p w14:paraId="0973D1C2" w14:textId="77777777" w:rsidR="00856570" w:rsidRPr="008B2CB7" w:rsidRDefault="00856570" w:rsidP="00856570">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little or no involvement from health or social care</w:t>
      </w:r>
    </w:p>
    <w:p w14:paraId="3B42C696"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“Most of the Preparing for Adulthood work is done by parent carers, with little or no support.”</w:t>
      </w:r>
    </w:p>
    <w:p w14:paraId="0BC92A6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stress that PfA must go beyond aspirations and include:</w:t>
      </w:r>
    </w:p>
    <w:p w14:paraId="3F6D91CE" w14:textId="77777777" w:rsidR="00856570" w:rsidRPr="008B2CB7" w:rsidRDefault="00856570" w:rsidP="00856570">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building routine, stamina and resilience</w:t>
      </w:r>
    </w:p>
    <w:p w14:paraId="697F6F7D" w14:textId="77777777" w:rsidR="00856570" w:rsidRPr="008B2CB7" w:rsidRDefault="00856570" w:rsidP="00856570">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travel confidence and supported independence</w:t>
      </w:r>
    </w:p>
    <w:p w14:paraId="58E4FE94" w14:textId="77777777" w:rsidR="00856570" w:rsidRPr="008B2CB7" w:rsidRDefault="00856570" w:rsidP="00856570">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explicit teaching of social expectations and workplace norms</w:t>
      </w:r>
    </w:p>
    <w:p w14:paraId="64074A61" w14:textId="77777777" w:rsidR="00856570" w:rsidRPr="008B2CB7" w:rsidRDefault="00856570" w:rsidP="00856570">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gradual exposure to unfamiliar environments</w:t>
      </w:r>
    </w:p>
    <w:p w14:paraId="06BD6A8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Schools provide routine and predictability. The adult world does not. Parents are clear that </w:t>
      </w:r>
      <w:r w:rsidRPr="008B2CB7">
        <w:rPr>
          <w:rFonts w:ascii="Calibri" w:eastAsia="Times New Roman" w:hAnsi="Calibri" w:cs="Calibri"/>
          <w:b/>
          <w:bCs/>
          <w:kern w:val="0"/>
          <w:lang w:eastAsia="en-GB"/>
          <w14:ligatures w14:val="none"/>
        </w:rPr>
        <w:t>this gap is where many young people fall</w:t>
      </w:r>
      <w:r w:rsidRPr="008B2CB7">
        <w:rPr>
          <w:rFonts w:ascii="Calibri" w:eastAsia="Times New Roman" w:hAnsi="Calibri" w:cs="Calibri"/>
          <w:kern w:val="0"/>
          <w:lang w:eastAsia="en-GB"/>
          <w14:ligatures w14:val="none"/>
        </w:rPr>
        <w:t>.</w:t>
      </w:r>
    </w:p>
    <w:p w14:paraId="2BAD2147"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436ABE5D">
          <v:rect id="_x0000_i1041" style="width:0;height:1.5pt" o:hralign="center" o:hrstd="t" o:hr="t" fillcolor="#a0a0a0" stroked="f"/>
        </w:pict>
      </w:r>
    </w:p>
    <w:p w14:paraId="2BE25EE9"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4. Anxiety, EBSA and recovery must be acknowledged — not ignored</w:t>
      </w:r>
    </w:p>
    <w:p w14:paraId="265FDA60"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 xml:space="preserve">Parents report a growing cohort of young people, including high academic achievers, developing </w:t>
      </w:r>
      <w:r w:rsidRPr="00D33835">
        <w:rPr>
          <w:rFonts w:ascii="Calibri" w:eastAsia="Times New Roman" w:hAnsi="Calibri" w:cs="Calibri"/>
          <w:kern w:val="0"/>
          <w:lang w:eastAsia="en-GB"/>
          <w14:ligatures w14:val="none"/>
        </w:rPr>
        <w:t>Emotionally Based School Avoidance (EBSA) as expectations increase.</w:t>
      </w:r>
    </w:p>
    <w:p w14:paraId="46496486"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Success does not protect against anxiety; in many cases, it heightens it. Responsibility, independence and performance pressure can become overwhelming, particularly for neurodivergent young people who are masking difficulties.</w:t>
      </w:r>
    </w:p>
    <w:p w14:paraId="08A245BF"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Parents are clear that many young people leave education exhausted and traumatised by their school experience. Expecting immediate readiness for work is unrealistic and harmful.</w:t>
      </w:r>
    </w:p>
    <w:p w14:paraId="545A546D"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Parents strongly support the development of a bespoke transitional mental health and learning programme, delivered through colleges or community provision, that focuses on:</w:t>
      </w:r>
    </w:p>
    <w:p w14:paraId="2865C19A" w14:textId="77777777" w:rsidR="00856570" w:rsidRPr="008B2CB7" w:rsidRDefault="00856570" w:rsidP="00856570">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recovery and emotional repair</w:t>
      </w:r>
    </w:p>
    <w:p w14:paraId="62C0E8EA" w14:textId="77777777" w:rsidR="00856570" w:rsidRPr="008B2CB7" w:rsidRDefault="00856570" w:rsidP="00856570">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rebuilding confidence and self-belief</w:t>
      </w:r>
    </w:p>
    <w:p w14:paraId="1DB44D26" w14:textId="77777777" w:rsidR="00856570" w:rsidRPr="00D33835" w:rsidRDefault="00856570" w:rsidP="00856570">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gradual re-engagement with </w:t>
      </w:r>
      <w:r w:rsidRPr="00D33835">
        <w:rPr>
          <w:rFonts w:ascii="Calibri" w:eastAsia="Times New Roman" w:hAnsi="Calibri" w:cs="Calibri"/>
          <w:kern w:val="0"/>
          <w:lang w:eastAsia="en-GB"/>
          <w14:ligatures w14:val="none"/>
        </w:rPr>
        <w:t>learning and purpose</w:t>
      </w:r>
    </w:p>
    <w:p w14:paraId="2900731D"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Such provision would recognise that readiness for adulthood cannot be rushed.</w:t>
      </w:r>
    </w:p>
    <w:p w14:paraId="114CDDE1"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7115BDCA">
          <v:rect id="_x0000_i1042" style="width:0;height:1.5pt" o:hralign="center" o:hrstd="t" o:hr="t" fillcolor="#a0a0a0" stroked="f"/>
        </w:pict>
      </w:r>
    </w:p>
    <w:p w14:paraId="4CE8B902"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5. Preventing isolation must be an explicit objective</w:t>
      </w:r>
    </w:p>
    <w:p w14:paraId="170E6B6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the devastating impact of prolonged inactivity on young people’s mental health and employability.</w:t>
      </w:r>
    </w:p>
    <w:p w14:paraId="1F3A201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They ask:</w:t>
      </w:r>
    </w:p>
    <w:p w14:paraId="13ECC5A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“What do you do all day when you don’t work?”</w:t>
      </w:r>
      <w:r w:rsidRPr="008B2CB7">
        <w:rPr>
          <w:rFonts w:ascii="Calibri" w:eastAsia="Times New Roman" w:hAnsi="Calibri" w:cs="Calibri"/>
          <w:kern w:val="0"/>
          <w:lang w:eastAsia="en-GB"/>
          <w14:ligatures w14:val="none"/>
        </w:rPr>
        <w:br/>
        <w:t>“Who do you socialise with when you have no money?”</w:t>
      </w:r>
    </w:p>
    <w:p w14:paraId="7D676836"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describe young people:</w:t>
      </w:r>
    </w:p>
    <w:p w14:paraId="0315E9F0" w14:textId="77777777" w:rsidR="00856570" w:rsidRPr="008B2CB7" w:rsidRDefault="00856570" w:rsidP="00856570">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isolated at home, often in bedrooms</w:t>
      </w:r>
    </w:p>
    <w:p w14:paraId="7ABC5BA6" w14:textId="77777777" w:rsidR="00856570" w:rsidRPr="008B2CB7" w:rsidRDefault="00856570" w:rsidP="00856570">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disconnected from peers</w:t>
      </w:r>
    </w:p>
    <w:p w14:paraId="2714E9BE" w14:textId="77777777" w:rsidR="00856570" w:rsidRPr="008B2CB7" w:rsidRDefault="00856570" w:rsidP="00856570">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losing routine, confidence and identity</w:t>
      </w:r>
    </w:p>
    <w:p w14:paraId="6857E0E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are explicit:</w:t>
      </w:r>
    </w:p>
    <w:p w14:paraId="0E5D128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 longer you are not working, the less likely you are to be able to work — or want to.”</w:t>
      </w:r>
    </w:p>
    <w:p w14:paraId="239CBFD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Support must therefore:</w:t>
      </w:r>
    </w:p>
    <w:p w14:paraId="4F78DCDF" w14:textId="77777777" w:rsidR="00856570" w:rsidRPr="008B2CB7" w:rsidRDefault="00856570" w:rsidP="00856570">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maintain connection to routine and purpose</w:t>
      </w:r>
    </w:p>
    <w:p w14:paraId="6ABE2635" w14:textId="77777777" w:rsidR="00856570" w:rsidRPr="008B2CB7" w:rsidRDefault="00856570" w:rsidP="00856570">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provide meaningful transitional activity</w:t>
      </w:r>
    </w:p>
    <w:p w14:paraId="1BCCBF3C" w14:textId="77777777" w:rsidR="00856570" w:rsidRPr="008B2CB7" w:rsidRDefault="00856570" w:rsidP="00856570">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prevent long periods of isolation </w:t>
      </w:r>
      <w:r w:rsidRPr="008B2CB7">
        <w:rPr>
          <w:rFonts w:ascii="Calibri" w:eastAsia="Times New Roman" w:hAnsi="Calibri" w:cs="Calibri"/>
          <w:i/>
          <w:iCs/>
          <w:kern w:val="0"/>
          <w:lang w:eastAsia="en-GB"/>
          <w14:ligatures w14:val="none"/>
        </w:rPr>
        <w:t>before</w:t>
      </w:r>
      <w:r w:rsidRPr="008B2CB7">
        <w:rPr>
          <w:rFonts w:ascii="Calibri" w:eastAsia="Times New Roman" w:hAnsi="Calibri" w:cs="Calibri"/>
          <w:kern w:val="0"/>
          <w:lang w:eastAsia="en-GB"/>
          <w14:ligatures w14:val="none"/>
        </w:rPr>
        <w:t xml:space="preserve"> work is realistic</w:t>
      </w:r>
    </w:p>
    <w:p w14:paraId="18D11D9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Waiting is not neutral. It actively increases future barriers.</w:t>
      </w:r>
    </w:p>
    <w:p w14:paraId="29680311"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6A1EDD93">
          <v:rect id="_x0000_i1043" style="width:0;height:1.5pt" o:hralign="center" o:hrstd="t" o:hr="t" fillcolor="#a0a0a0" stroked="f"/>
        </w:pict>
      </w:r>
    </w:p>
    <w:p w14:paraId="164A7048"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lastRenderedPageBreak/>
        <w:t>6. Support must not depend on parental capacity</w:t>
      </w:r>
    </w:p>
    <w:p w14:paraId="40C22A1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repeatedly stress that outcomes currently depend on:</w:t>
      </w:r>
    </w:p>
    <w:p w14:paraId="73D65799" w14:textId="77777777" w:rsidR="00856570" w:rsidRPr="008B2CB7" w:rsidRDefault="00856570" w:rsidP="00856570">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health and resilience</w:t>
      </w:r>
    </w:p>
    <w:p w14:paraId="00EB8A36" w14:textId="77777777" w:rsidR="00856570" w:rsidRPr="008B2CB7" w:rsidRDefault="00856570" w:rsidP="00856570">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ability to navigate complex systems</w:t>
      </w:r>
    </w:p>
    <w:p w14:paraId="6721F662" w14:textId="77777777" w:rsidR="00856570" w:rsidRPr="008B2CB7" w:rsidRDefault="00856570" w:rsidP="00856570">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time, energy and confidence to advocate persistently</w:t>
      </w:r>
    </w:p>
    <w:p w14:paraId="1CF5F35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“There is a real emphasis on the parent’s ability to find out their child’s rights.”</w:t>
      </w:r>
    </w:p>
    <w:p w14:paraId="2285C2A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“Those with parents who won’t or can’t engage therefore don’t get support.”</w:t>
      </w:r>
    </w:p>
    <w:p w14:paraId="0088426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are clear: </w:t>
      </w:r>
      <w:r w:rsidRPr="00D33835">
        <w:rPr>
          <w:rFonts w:ascii="Calibri" w:eastAsia="Times New Roman" w:hAnsi="Calibri" w:cs="Calibri"/>
          <w:kern w:val="0"/>
          <w:lang w:eastAsia="en-GB"/>
          <w14:ligatures w14:val="none"/>
        </w:rPr>
        <w:t xml:space="preserve">this is not acceptable. </w:t>
      </w:r>
      <w:r w:rsidRPr="008B2CB7">
        <w:rPr>
          <w:rFonts w:ascii="Calibri" w:eastAsia="Times New Roman" w:hAnsi="Calibri" w:cs="Calibri"/>
          <w:kern w:val="0"/>
          <w:lang w:eastAsia="en-GB"/>
          <w14:ligatures w14:val="none"/>
        </w:rPr>
        <w:t>Access to support must not depend on parental capacity. A system designed around parental advocacy will always deepen inequality.</w:t>
      </w:r>
    </w:p>
    <w:p w14:paraId="06692253"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3D273F86">
          <v:rect id="_x0000_i1044" style="width:0;height:1.5pt" o:hralign="center" o:hrstd="t" o:hr="t" fillcolor="#a0a0a0" stroked="f"/>
        </w:pict>
      </w:r>
    </w:p>
    <w:p w14:paraId="0A566BA6"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7. Strengths-based identification and personalised pathways</w:t>
      </w:r>
    </w:p>
    <w:p w14:paraId="306C85B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want systems that help young people understand </w:t>
      </w:r>
      <w:r w:rsidRPr="008B2CB7">
        <w:rPr>
          <w:rFonts w:ascii="Calibri" w:eastAsia="Times New Roman" w:hAnsi="Calibri" w:cs="Calibri"/>
          <w:b/>
          <w:bCs/>
          <w:kern w:val="0"/>
          <w:lang w:eastAsia="en-GB"/>
          <w14:ligatures w14:val="none"/>
        </w:rPr>
        <w:t>what they can do</w:t>
      </w:r>
      <w:r w:rsidRPr="008B2CB7">
        <w:rPr>
          <w:rFonts w:ascii="Calibri" w:eastAsia="Times New Roman" w:hAnsi="Calibri" w:cs="Calibri"/>
          <w:kern w:val="0"/>
          <w:lang w:eastAsia="en-GB"/>
          <w14:ligatures w14:val="none"/>
        </w:rPr>
        <w:t>, not just what they struggle with.</w:t>
      </w:r>
    </w:p>
    <w:p w14:paraId="4E51D5AF"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“Ask </w:t>
      </w:r>
      <w:proofErr w:type="spellStart"/>
      <w:r w:rsidRPr="008B2CB7">
        <w:rPr>
          <w:rFonts w:ascii="Calibri" w:eastAsia="Times New Roman" w:hAnsi="Calibri" w:cs="Calibri"/>
          <w:kern w:val="0"/>
          <w:lang w:eastAsia="en-GB"/>
          <w14:ligatures w14:val="none"/>
        </w:rPr>
        <w:t>AuDHD</w:t>
      </w:r>
      <w:proofErr w:type="spellEnd"/>
      <w:r w:rsidRPr="008B2CB7">
        <w:rPr>
          <w:rFonts w:ascii="Calibri" w:eastAsia="Times New Roman" w:hAnsi="Calibri" w:cs="Calibri"/>
          <w:kern w:val="0"/>
          <w:lang w:eastAsia="en-GB"/>
          <w14:ligatures w14:val="none"/>
        </w:rPr>
        <w:t xml:space="preserve"> young people what their strengths are and give them work around that.”</w:t>
      </w:r>
    </w:p>
    <w:p w14:paraId="347F8CB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Young people need structured support to identify:</w:t>
      </w:r>
    </w:p>
    <w:p w14:paraId="1C452E48" w14:textId="77777777" w:rsidR="00856570" w:rsidRPr="008B2CB7" w:rsidRDefault="00856570" w:rsidP="00856570">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strengths and interests</w:t>
      </w:r>
    </w:p>
    <w:p w14:paraId="250D3AAD" w14:textId="77777777" w:rsidR="00856570" w:rsidRPr="008B2CB7" w:rsidRDefault="00856570" w:rsidP="00856570">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sensory and social preferences</w:t>
      </w:r>
    </w:p>
    <w:p w14:paraId="0790D35F" w14:textId="77777777" w:rsidR="00856570" w:rsidRPr="008B2CB7" w:rsidRDefault="00856570" w:rsidP="00856570">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working patterns and stamina</w:t>
      </w:r>
    </w:p>
    <w:p w14:paraId="5A0992CA" w14:textId="77777777" w:rsidR="00856570" w:rsidRPr="008B2CB7" w:rsidRDefault="00856570" w:rsidP="00856570">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environments where they can thrive</w:t>
      </w:r>
    </w:p>
    <w:p w14:paraId="3C5140D3"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also emphasise the importance of choice:</w:t>
      </w:r>
    </w:p>
    <w:p w14:paraId="1430B8A5"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“When job </w:t>
      </w:r>
      <w:proofErr w:type="gramStart"/>
      <w:r w:rsidRPr="008B2CB7">
        <w:rPr>
          <w:rFonts w:ascii="Calibri" w:eastAsia="Times New Roman" w:hAnsi="Calibri" w:cs="Calibri"/>
          <w:kern w:val="0"/>
          <w:lang w:eastAsia="en-GB"/>
          <w14:ligatures w14:val="none"/>
        </w:rPr>
        <w:t>hunting</w:t>
      </w:r>
      <w:proofErr w:type="gramEnd"/>
      <w:r w:rsidRPr="008B2CB7">
        <w:rPr>
          <w:rFonts w:ascii="Calibri" w:eastAsia="Times New Roman" w:hAnsi="Calibri" w:cs="Calibri"/>
          <w:kern w:val="0"/>
          <w:lang w:eastAsia="en-GB"/>
          <w14:ligatures w14:val="none"/>
        </w:rPr>
        <w:t xml:space="preserve"> they need to choose whether to work remotely, in a team, what time of day, and in what field — so their strengths really show.”</w:t>
      </w:r>
    </w:p>
    <w:p w14:paraId="2C284B3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This requires intermediary support that understands both the young person and the labour market.</w:t>
      </w:r>
    </w:p>
    <w:p w14:paraId="20D94196"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25BCB978">
          <v:rect id="_x0000_i1045" style="width:0;height:1.5pt" o:hralign="center" o:hrstd="t" o:hr="t" fillcolor="#a0a0a0" stroked="f"/>
        </w:pict>
      </w:r>
    </w:p>
    <w:p w14:paraId="215B3960" w14:textId="77777777" w:rsidR="00795EB3" w:rsidRPr="008B2CB7" w:rsidRDefault="00856570" w:rsidP="00795EB3">
      <w:pPr>
        <w:pStyle w:val="Heading2"/>
        <w:rPr>
          <w:rFonts w:ascii="Calibri" w:eastAsia="Times New Roman" w:hAnsi="Calibri" w:cs="Calibri"/>
          <w:b/>
          <w:bCs/>
          <w:color w:val="auto"/>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 xml:space="preserve">8. </w:t>
      </w:r>
      <w:r w:rsidR="00795EB3" w:rsidRPr="008B2CB7">
        <w:rPr>
          <w:rFonts w:ascii="Calibri" w:eastAsia="Times New Roman" w:hAnsi="Calibri" w:cs="Calibri"/>
          <w:b/>
          <w:bCs/>
          <w:color w:val="auto"/>
          <w:kern w:val="0"/>
          <w:sz w:val="36"/>
          <w:szCs w:val="36"/>
          <w:lang w:eastAsia="en-GB"/>
          <w14:ligatures w14:val="none"/>
        </w:rPr>
        <w:t>Identifying Strengths Early and Linking Them Explicitly to Employment</w:t>
      </w:r>
    </w:p>
    <w:p w14:paraId="43B4D072"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A recurring failure identified by parent carers and practitioners is the education system’s limited ability to identify and nurture a young person’s </w:t>
      </w:r>
      <w:r w:rsidRPr="008B2CB7">
        <w:rPr>
          <w:rFonts w:ascii="Calibri" w:eastAsia="Times New Roman" w:hAnsi="Calibri" w:cs="Calibri"/>
          <w:i/>
          <w:iCs/>
          <w:kern w:val="0"/>
          <w:lang w:eastAsia="en-GB"/>
          <w14:ligatures w14:val="none"/>
        </w:rPr>
        <w:t>strengths</w:t>
      </w:r>
      <w:r w:rsidRPr="008B2CB7">
        <w:rPr>
          <w:rFonts w:ascii="Calibri" w:eastAsia="Times New Roman" w:hAnsi="Calibri" w:cs="Calibri"/>
          <w:kern w:val="0"/>
          <w:lang w:eastAsia="en-GB"/>
          <w14:ligatures w14:val="none"/>
        </w:rPr>
        <w:t xml:space="preserve"> in a way that meaningfully connects to future employment. Too often, assessment focuses on deficits, compliance, or exam performance rather than aptitude, interests, and practical capability.</w:t>
      </w:r>
    </w:p>
    <w:p w14:paraId="0AAD8494"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Many young people—particularly those with SEND, neurodivergence, anxiety, or emerging mental health needs—demonstrate strong skills in areas such as problem-solving, routine-based tasks, practical application, visual learning, creativity, systems thinking, care roles, or technical processes. These strengths often remain unrecognised or undervalued within mainstream secondary education because they do not map neatly onto traditional academic measures.</w:t>
      </w:r>
    </w:p>
    <w:p w14:paraId="3DC3C91A"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Where strengths </w:t>
      </w:r>
      <w:r w:rsidRPr="008B2CB7">
        <w:rPr>
          <w:rFonts w:ascii="Calibri" w:eastAsia="Times New Roman" w:hAnsi="Calibri" w:cs="Calibri"/>
          <w:i/>
          <w:iCs/>
          <w:kern w:val="0"/>
          <w:lang w:eastAsia="en-GB"/>
          <w14:ligatures w14:val="none"/>
        </w:rPr>
        <w:t>are</w:t>
      </w:r>
      <w:r w:rsidRPr="008B2CB7">
        <w:rPr>
          <w:rFonts w:ascii="Calibri" w:eastAsia="Times New Roman" w:hAnsi="Calibri" w:cs="Calibri"/>
          <w:kern w:val="0"/>
          <w:lang w:eastAsia="en-GB"/>
          <w14:ligatures w14:val="none"/>
        </w:rPr>
        <w:t xml:space="preserve"> identified, there is frequently no clear pathway linking them to vocational options, supported employment, apprenticeships, or realistic job roles. This leads to a disconnect between education and the labour market, where young people leave school with qualifications that do not reflect their abilities, and employers are unable to see how young people’s skills could translate into the workplace.</w:t>
      </w:r>
    </w:p>
    <w:p w14:paraId="1B06D226"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 strengths-based approach—embedded early and revisited regularly—would enable:</w:t>
      </w:r>
    </w:p>
    <w:p w14:paraId="6FB8BE43" w14:textId="77777777" w:rsidR="00795EB3" w:rsidRPr="008B2CB7" w:rsidRDefault="00795EB3" w:rsidP="00795EB3">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clearer conversations with young people and families about future </w:t>
      </w:r>
      <w:proofErr w:type="gramStart"/>
      <w:r w:rsidRPr="008B2CB7">
        <w:rPr>
          <w:rFonts w:ascii="Calibri" w:eastAsia="Times New Roman" w:hAnsi="Calibri" w:cs="Calibri"/>
          <w:kern w:val="0"/>
          <w:lang w:eastAsia="en-GB"/>
          <w14:ligatures w14:val="none"/>
        </w:rPr>
        <w:t>pathways;</w:t>
      </w:r>
      <w:proofErr w:type="gramEnd"/>
    </w:p>
    <w:p w14:paraId="1D6814F7" w14:textId="77777777" w:rsidR="00795EB3" w:rsidRPr="008B2CB7" w:rsidRDefault="00795EB3" w:rsidP="00795EB3">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more realistic preparation for work or </w:t>
      </w:r>
      <w:proofErr w:type="gramStart"/>
      <w:r w:rsidRPr="008B2CB7">
        <w:rPr>
          <w:rFonts w:ascii="Calibri" w:eastAsia="Times New Roman" w:hAnsi="Calibri" w:cs="Calibri"/>
          <w:kern w:val="0"/>
          <w:lang w:eastAsia="en-GB"/>
          <w14:ligatures w14:val="none"/>
        </w:rPr>
        <w:t>training;</w:t>
      </w:r>
      <w:proofErr w:type="gramEnd"/>
    </w:p>
    <w:p w14:paraId="3CF90EB0" w14:textId="77777777" w:rsidR="00795EB3" w:rsidRPr="008B2CB7" w:rsidRDefault="00795EB3" w:rsidP="00795EB3">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earlier engagement with employers and supported employment </w:t>
      </w:r>
      <w:proofErr w:type="gramStart"/>
      <w:r w:rsidRPr="008B2CB7">
        <w:rPr>
          <w:rFonts w:ascii="Calibri" w:eastAsia="Times New Roman" w:hAnsi="Calibri" w:cs="Calibri"/>
          <w:kern w:val="0"/>
          <w:lang w:eastAsia="en-GB"/>
          <w14:ligatures w14:val="none"/>
        </w:rPr>
        <w:t>models;</w:t>
      </w:r>
      <w:proofErr w:type="gramEnd"/>
    </w:p>
    <w:p w14:paraId="39B5504D" w14:textId="77777777" w:rsidR="00795EB3" w:rsidRPr="008B2CB7" w:rsidRDefault="00795EB3" w:rsidP="00795EB3">
      <w:pPr>
        <w:numPr>
          <w:ilvl w:val="0"/>
          <w:numId w:val="17"/>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reduced drop-out rates post-16 and post-18.</w:t>
      </w:r>
    </w:p>
    <w:p w14:paraId="7BD6760E"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This requires a shift away from a purely attainment-based framework towards one that values capability, contribution, and progression over time.</w:t>
      </w:r>
    </w:p>
    <w:p w14:paraId="6D7C005A" w14:textId="77777777" w:rsidR="00795EB3" w:rsidRPr="008B2CB7" w:rsidRDefault="002447B0" w:rsidP="00795EB3">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1556CC46">
          <v:rect id="_x0000_i1046" style="width:0;height:1.5pt" o:hralign="center" o:hrstd="t" o:hr="t" fillcolor="#a0a0a0" stroked="f"/>
        </w:pict>
      </w:r>
    </w:p>
    <w:p w14:paraId="492673E8" w14:textId="18E54C7F" w:rsidR="00795EB3" w:rsidRPr="008B2CB7" w:rsidRDefault="00795EB3" w:rsidP="00795EB3">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9. The Need for More Flexible and Inclusive Secondary School Curricula</w:t>
      </w:r>
    </w:p>
    <w:p w14:paraId="633964D2" w14:textId="77777777" w:rsidR="00795EB3" w:rsidRPr="00D33835"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Evidence from parent carers highlights that current secondary school curricula are too narrow and exam-centric to meet the needs of a diverse cohort of learners. While academic qualifications are appropriate and </w:t>
      </w:r>
      <w:r w:rsidRPr="00D33835">
        <w:rPr>
          <w:rFonts w:ascii="Calibri" w:eastAsia="Times New Roman" w:hAnsi="Calibri" w:cs="Calibri"/>
          <w:kern w:val="0"/>
          <w:lang w:eastAsia="en-GB"/>
          <w14:ligatures w14:val="none"/>
        </w:rPr>
        <w:t>essential for many, they are not suitable for all—and an education system built predominantly around high-pressure exams disadvantages a significant number of young people.</w:t>
      </w:r>
    </w:p>
    <w:p w14:paraId="2BDDA874" w14:textId="77777777" w:rsidR="00795EB3" w:rsidRPr="00D33835"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There is a strong case for greater curriculum flexibility at secondary level, including:</w:t>
      </w:r>
    </w:p>
    <w:p w14:paraId="71942DA6" w14:textId="77777777" w:rsidR="00795EB3" w:rsidRPr="00D33835" w:rsidRDefault="00795EB3" w:rsidP="00795EB3">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 xml:space="preserve">a wider range of coursework-based and practically assessed </w:t>
      </w:r>
      <w:proofErr w:type="gramStart"/>
      <w:r w:rsidRPr="00D33835">
        <w:rPr>
          <w:rFonts w:ascii="Calibri" w:eastAsia="Times New Roman" w:hAnsi="Calibri" w:cs="Calibri"/>
          <w:kern w:val="0"/>
          <w:lang w:eastAsia="en-GB"/>
          <w14:ligatures w14:val="none"/>
        </w:rPr>
        <w:t>options;</w:t>
      </w:r>
      <w:proofErr w:type="gramEnd"/>
    </w:p>
    <w:p w14:paraId="5CA82C65" w14:textId="77777777" w:rsidR="00795EB3" w:rsidRPr="00D33835" w:rsidRDefault="00795EB3" w:rsidP="00795EB3">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 xml:space="preserve">qualifications that value sustained effort, skill development, and applied learning rather than performance on a single exam </w:t>
      </w:r>
      <w:proofErr w:type="gramStart"/>
      <w:r w:rsidRPr="00D33835">
        <w:rPr>
          <w:rFonts w:ascii="Calibri" w:eastAsia="Times New Roman" w:hAnsi="Calibri" w:cs="Calibri"/>
          <w:kern w:val="0"/>
          <w:lang w:eastAsia="en-GB"/>
          <w14:ligatures w14:val="none"/>
        </w:rPr>
        <w:t>day;</w:t>
      </w:r>
      <w:proofErr w:type="gramEnd"/>
    </w:p>
    <w:p w14:paraId="3ABBF888" w14:textId="77777777" w:rsidR="00795EB3" w:rsidRPr="008B2CB7" w:rsidRDefault="00795EB3" w:rsidP="00795EB3">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blended pathways that combine academic learning with vocational, creative, or technical </w:t>
      </w:r>
      <w:proofErr w:type="gramStart"/>
      <w:r w:rsidRPr="008B2CB7">
        <w:rPr>
          <w:rFonts w:ascii="Calibri" w:eastAsia="Times New Roman" w:hAnsi="Calibri" w:cs="Calibri"/>
          <w:kern w:val="0"/>
          <w:lang w:eastAsia="en-GB"/>
          <w14:ligatures w14:val="none"/>
        </w:rPr>
        <w:t>study;</w:t>
      </w:r>
      <w:proofErr w:type="gramEnd"/>
    </w:p>
    <w:p w14:paraId="583A4B14" w14:textId="77777777" w:rsidR="00795EB3" w:rsidRPr="008B2CB7" w:rsidRDefault="00795EB3" w:rsidP="00795EB3">
      <w:pPr>
        <w:numPr>
          <w:ilvl w:val="0"/>
          <w:numId w:val="18"/>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opportunities to develop employability skills such as reliability, teamwork, communication, task completion, and time management within the school setting.</w:t>
      </w:r>
    </w:p>
    <w:p w14:paraId="4F5F17A8"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For many young people with SEND or emerging vulnerability, exam environments exacerbate anxiety, masking behaviours, and burnout—resulting in outcomes that do not reflect true ability. Coursework-based and practical assessments can provide a more accurate and inclusive measure of competence, while also mirroring how skills are used in real workplaces.</w:t>
      </w:r>
    </w:p>
    <w:p w14:paraId="0E1B5642"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Importantly, flexible curricula should not be seen as a “lesser” option. When designed well, practical and vocational learning builds confidence, self-worth, and independence—key foundations for successful employment and reduced long-term reliance on state support.</w:t>
      </w:r>
    </w:p>
    <w:p w14:paraId="49C8EDBB" w14:textId="77777777" w:rsidR="00795EB3" w:rsidRPr="008B2CB7" w:rsidRDefault="002447B0" w:rsidP="00795EB3">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pict w14:anchorId="3DE7488F">
          <v:rect id="_x0000_i1047" style="width:0;height:1.5pt" o:hralign="center" o:hrstd="t" o:hr="t" fillcolor="#a0a0a0" stroked="f"/>
        </w:pict>
      </w:r>
    </w:p>
    <w:p w14:paraId="3C54EAE9" w14:textId="0A88E5E0" w:rsidR="00795EB3" w:rsidRPr="008B2CB7" w:rsidRDefault="00795EB3" w:rsidP="00795EB3">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10. Preparing Young People for Employment Before They Leave Education</w:t>
      </w:r>
    </w:p>
    <w:p w14:paraId="20C4CD87"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 carers are clear that preparation</w:t>
      </w:r>
      <w:r w:rsidRPr="00D33835">
        <w:rPr>
          <w:rFonts w:ascii="Calibri" w:eastAsia="Times New Roman" w:hAnsi="Calibri" w:cs="Calibri"/>
          <w:kern w:val="0"/>
          <w:lang w:eastAsia="en-GB"/>
          <w14:ligatures w14:val="none"/>
        </w:rPr>
        <w:t xml:space="preserve"> for adulthood and employment must begin well before the point of exit from education</w:t>
      </w:r>
      <w:r w:rsidRPr="008B2CB7">
        <w:rPr>
          <w:rFonts w:ascii="Calibri" w:eastAsia="Times New Roman" w:hAnsi="Calibri" w:cs="Calibri"/>
          <w:kern w:val="0"/>
          <w:lang w:eastAsia="en-GB"/>
          <w14:ligatures w14:val="none"/>
        </w:rPr>
        <w:t>, not after a young person has disengaged or reached crisis. Schools are uniquely placed to:</w:t>
      </w:r>
    </w:p>
    <w:p w14:paraId="390D8890" w14:textId="77777777" w:rsidR="00795EB3" w:rsidRPr="008B2CB7" w:rsidRDefault="00795EB3" w:rsidP="00795EB3">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introduce young people to different types of work and employment </w:t>
      </w:r>
      <w:proofErr w:type="gramStart"/>
      <w:r w:rsidRPr="008B2CB7">
        <w:rPr>
          <w:rFonts w:ascii="Calibri" w:eastAsia="Times New Roman" w:hAnsi="Calibri" w:cs="Calibri"/>
          <w:kern w:val="0"/>
          <w:lang w:eastAsia="en-GB"/>
          <w14:ligatures w14:val="none"/>
        </w:rPr>
        <w:t>settings;</w:t>
      </w:r>
      <w:proofErr w:type="gramEnd"/>
    </w:p>
    <w:p w14:paraId="573CD1F4" w14:textId="77777777" w:rsidR="00795EB3" w:rsidRPr="008B2CB7" w:rsidRDefault="00795EB3" w:rsidP="00795EB3">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embed work-related learning in a safe, supported </w:t>
      </w:r>
      <w:proofErr w:type="gramStart"/>
      <w:r w:rsidRPr="008B2CB7">
        <w:rPr>
          <w:rFonts w:ascii="Calibri" w:eastAsia="Times New Roman" w:hAnsi="Calibri" w:cs="Calibri"/>
          <w:kern w:val="0"/>
          <w:lang w:eastAsia="en-GB"/>
          <w14:ligatures w14:val="none"/>
        </w:rPr>
        <w:t>environment;</w:t>
      </w:r>
      <w:proofErr w:type="gramEnd"/>
    </w:p>
    <w:p w14:paraId="534F6F15" w14:textId="77777777" w:rsidR="00795EB3" w:rsidRPr="008B2CB7" w:rsidRDefault="00795EB3" w:rsidP="00795EB3">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normalise conversations about reasonable adjustments, support needs, and </w:t>
      </w:r>
      <w:proofErr w:type="gramStart"/>
      <w:r w:rsidRPr="008B2CB7">
        <w:rPr>
          <w:rFonts w:ascii="Calibri" w:eastAsia="Times New Roman" w:hAnsi="Calibri" w:cs="Calibri"/>
          <w:kern w:val="0"/>
          <w:lang w:eastAsia="en-GB"/>
          <w14:ligatures w14:val="none"/>
        </w:rPr>
        <w:t>disclosure;</w:t>
      </w:r>
      <w:proofErr w:type="gramEnd"/>
    </w:p>
    <w:p w14:paraId="2965529F" w14:textId="77777777" w:rsidR="00795EB3" w:rsidRPr="008B2CB7" w:rsidRDefault="00795EB3" w:rsidP="00795EB3">
      <w:pPr>
        <w:numPr>
          <w:ilvl w:val="0"/>
          <w:numId w:val="19"/>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build familiarity with routines, expectations, and problem-solving in real-world contexts.</w:t>
      </w:r>
    </w:p>
    <w:p w14:paraId="2F1F5702"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When this does not happen, young people leave education without the confidence, skills, or readiness to engage with employment services, and families are left to bridge the gap alone.</w:t>
      </w:r>
    </w:p>
    <w:p w14:paraId="6059B8DF"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More flexible curricula, explicitly linked to employability and strengths identification, would allow schools to play a preventative role—reducing future demand on Jobcentre Plus, adult social care, and health services.</w:t>
      </w:r>
    </w:p>
    <w:p w14:paraId="6D163859" w14:textId="77777777" w:rsidR="00795EB3" w:rsidRPr="008B2CB7" w:rsidRDefault="002447B0" w:rsidP="00795EB3">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6CD77974">
          <v:rect id="_x0000_i1048" style="width:0;height:1.5pt" o:hralign="center" o:hrstd="t" o:hr="t" fillcolor="#a0a0a0" stroked="f"/>
        </w:pict>
      </w:r>
    </w:p>
    <w:p w14:paraId="087C9969" w14:textId="499E1185" w:rsidR="00795EB3" w:rsidRPr="008B2CB7" w:rsidRDefault="00795EB3" w:rsidP="00795EB3">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11. Whole-System Benefits</w:t>
      </w:r>
    </w:p>
    <w:p w14:paraId="2F15F3FD"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Embedding strengths-based assessment and flexible curriculum options is not simply an education reform; it is a preventative employment and social policy intervention. By enabling young people to leave education with:</w:t>
      </w:r>
    </w:p>
    <w:p w14:paraId="783DF624" w14:textId="77777777" w:rsidR="00795EB3" w:rsidRPr="008B2CB7" w:rsidRDefault="00795EB3" w:rsidP="00795EB3">
      <w:pPr>
        <w:numPr>
          <w:ilvl w:val="0"/>
          <w:numId w:val="20"/>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qualifications that reflect how they learn and what they can </w:t>
      </w:r>
      <w:proofErr w:type="gramStart"/>
      <w:r w:rsidRPr="008B2CB7">
        <w:rPr>
          <w:rFonts w:ascii="Calibri" w:eastAsia="Times New Roman" w:hAnsi="Calibri" w:cs="Calibri"/>
          <w:kern w:val="0"/>
          <w:lang w:eastAsia="en-GB"/>
          <w14:ligatures w14:val="none"/>
        </w:rPr>
        <w:t>do;</w:t>
      </w:r>
      <w:proofErr w:type="gramEnd"/>
    </w:p>
    <w:p w14:paraId="7C18BCFC" w14:textId="77777777" w:rsidR="00795EB3" w:rsidRPr="008B2CB7" w:rsidRDefault="00795EB3" w:rsidP="00795EB3">
      <w:pPr>
        <w:numPr>
          <w:ilvl w:val="0"/>
          <w:numId w:val="20"/>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a clear understanding of their </w:t>
      </w:r>
      <w:proofErr w:type="gramStart"/>
      <w:r w:rsidRPr="008B2CB7">
        <w:rPr>
          <w:rFonts w:ascii="Calibri" w:eastAsia="Times New Roman" w:hAnsi="Calibri" w:cs="Calibri"/>
          <w:kern w:val="0"/>
          <w:lang w:eastAsia="en-GB"/>
          <w14:ligatures w14:val="none"/>
        </w:rPr>
        <w:t>strengths;</w:t>
      </w:r>
      <w:proofErr w:type="gramEnd"/>
    </w:p>
    <w:p w14:paraId="5C16FDC4" w14:textId="77777777" w:rsidR="00795EB3" w:rsidRPr="008B2CB7" w:rsidRDefault="00795EB3" w:rsidP="00795EB3">
      <w:pPr>
        <w:numPr>
          <w:ilvl w:val="0"/>
          <w:numId w:val="20"/>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realistic pathways into work, training, or supported </w:t>
      </w:r>
      <w:proofErr w:type="gramStart"/>
      <w:r w:rsidRPr="008B2CB7">
        <w:rPr>
          <w:rFonts w:ascii="Calibri" w:eastAsia="Times New Roman" w:hAnsi="Calibri" w:cs="Calibri"/>
          <w:kern w:val="0"/>
          <w:lang w:eastAsia="en-GB"/>
          <w14:ligatures w14:val="none"/>
        </w:rPr>
        <w:t>employment;</w:t>
      </w:r>
      <w:proofErr w:type="gramEnd"/>
    </w:p>
    <w:p w14:paraId="79122988"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 system can reduce the number of young people entering the “cliff edge” of post-education disengagement and long-term economic inactivity.</w:t>
      </w:r>
    </w:p>
    <w:p w14:paraId="48D044BC" w14:textId="77777777" w:rsidR="00795EB3" w:rsidRPr="008B2CB7" w:rsidRDefault="00795EB3" w:rsidP="00795EB3">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 carers are clear: when education works </w:t>
      </w:r>
      <w:r w:rsidRPr="008B2CB7">
        <w:rPr>
          <w:rFonts w:ascii="Calibri" w:eastAsia="Times New Roman" w:hAnsi="Calibri" w:cs="Calibri"/>
          <w:i/>
          <w:iCs/>
          <w:kern w:val="0"/>
          <w:lang w:eastAsia="en-GB"/>
          <w14:ligatures w14:val="none"/>
        </w:rPr>
        <w:t>with</w:t>
      </w:r>
      <w:r w:rsidRPr="008B2CB7">
        <w:rPr>
          <w:rFonts w:ascii="Calibri" w:eastAsia="Times New Roman" w:hAnsi="Calibri" w:cs="Calibri"/>
          <w:kern w:val="0"/>
          <w:lang w:eastAsia="en-GB"/>
          <w14:ligatures w14:val="none"/>
        </w:rPr>
        <w:t xml:space="preserve"> a young person’s strengths and interests—rather than forcing them into narrow academic models—the pathway to employment becomes clearer, more achievable, and more sustainable.</w:t>
      </w:r>
    </w:p>
    <w:p w14:paraId="49B5E677" w14:textId="0F6A1336" w:rsidR="00856570" w:rsidRPr="008B2CB7" w:rsidRDefault="00795EB3"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 xml:space="preserve">12. </w:t>
      </w:r>
      <w:r w:rsidR="00856570" w:rsidRPr="008B2CB7">
        <w:rPr>
          <w:rFonts w:ascii="Calibri" w:eastAsia="Times New Roman" w:hAnsi="Calibri" w:cs="Calibri"/>
          <w:b/>
          <w:bCs/>
          <w:kern w:val="0"/>
          <w:sz w:val="36"/>
          <w:szCs w:val="36"/>
          <w:lang w:eastAsia="en-GB"/>
          <w14:ligatures w14:val="none"/>
        </w:rPr>
        <w:t>Employers need support, incentives and intermediaries — not blame</w:t>
      </w:r>
    </w:p>
    <w:p w14:paraId="62574E4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do not believe most employers are unwilling. They believe employers are uncertain and unsupported.</w:t>
      </w:r>
    </w:p>
    <w:p w14:paraId="4A63CF77"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Employers need:</w:t>
      </w:r>
    </w:p>
    <w:p w14:paraId="721AECDB" w14:textId="77777777" w:rsidR="00856570" w:rsidRPr="008B2CB7" w:rsidRDefault="00856570" w:rsidP="00856570">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practical guidance</w:t>
      </w:r>
    </w:p>
    <w:p w14:paraId="0DFD8B97" w14:textId="77777777" w:rsidR="00856570" w:rsidRPr="008B2CB7" w:rsidRDefault="00856570" w:rsidP="00856570">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reassurance</w:t>
      </w:r>
    </w:p>
    <w:p w14:paraId="52E0E769" w14:textId="77777777" w:rsidR="00856570" w:rsidRPr="008B2CB7" w:rsidRDefault="00856570" w:rsidP="00856570">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access to local intermediaries</w:t>
      </w:r>
    </w:p>
    <w:p w14:paraId="191A92E5" w14:textId="77777777" w:rsidR="00856570" w:rsidRPr="008B2CB7" w:rsidRDefault="00856570" w:rsidP="00856570">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support with reasonable adjustments</w:t>
      </w:r>
    </w:p>
    <w:p w14:paraId="2B82165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highlight successful examples where neurodiversity programmes, flexible hours, adapted workspaces and trauma-informed management are in place — demonstrating that SEND young people can succeed when environments adapt.</w:t>
      </w:r>
    </w:p>
    <w:p w14:paraId="389EBA9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 xml:space="preserve">Parents also argue for workplace-based support — </w:t>
      </w:r>
      <w:r w:rsidRPr="008B2CB7">
        <w:rPr>
          <w:rFonts w:ascii="Calibri" w:eastAsia="Times New Roman" w:hAnsi="Calibri" w:cs="Calibri"/>
          <w:b/>
          <w:bCs/>
          <w:kern w:val="0"/>
          <w:lang w:eastAsia="en-GB"/>
          <w14:ligatures w14:val="none"/>
        </w:rPr>
        <w:t xml:space="preserve">a </w:t>
      </w:r>
      <w:r w:rsidRPr="00D33835">
        <w:rPr>
          <w:rFonts w:ascii="Calibri" w:eastAsia="Times New Roman" w:hAnsi="Calibri" w:cs="Calibri"/>
          <w:kern w:val="0"/>
          <w:lang w:eastAsia="en-GB"/>
          <w14:ligatures w14:val="none"/>
        </w:rPr>
        <w:t>“TA in the workplace” equivalent — to make employment sustainable.</w:t>
      </w:r>
    </w:p>
    <w:p w14:paraId="3C6980FC"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5423F680">
          <v:rect id="_x0000_i1049" style="width:0;height:1.5pt" o:hralign="center" o:hrstd="t" o:hr="t" fillcolor="#a0a0a0" stroked="f"/>
        </w:pict>
      </w:r>
    </w:p>
    <w:p w14:paraId="368611A0" w14:textId="4AF71C0F" w:rsidR="00856570" w:rsidRPr="008B2CB7" w:rsidRDefault="00795EB3"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13</w:t>
      </w:r>
      <w:r w:rsidR="00856570" w:rsidRPr="008B2CB7">
        <w:rPr>
          <w:rFonts w:ascii="Calibri" w:eastAsia="Times New Roman" w:hAnsi="Calibri" w:cs="Calibri"/>
          <w:b/>
          <w:bCs/>
          <w:kern w:val="0"/>
          <w:sz w:val="36"/>
          <w:szCs w:val="36"/>
          <w:lang w:eastAsia="en-GB"/>
          <w14:ligatures w14:val="none"/>
        </w:rPr>
        <w:t>. Transport must be treated as an enabler, not an afterthought</w:t>
      </w:r>
    </w:p>
    <w:p w14:paraId="505EE4F1"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are clear that employment policy assumes mobility that does not exist.</w:t>
      </w:r>
    </w:p>
    <w:p w14:paraId="6381C5C5"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Without income:</w:t>
      </w:r>
    </w:p>
    <w:p w14:paraId="048CF6B4" w14:textId="77777777" w:rsidR="00856570" w:rsidRPr="008B2CB7" w:rsidRDefault="00856570" w:rsidP="00856570">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driving lessons are unaffordable</w:t>
      </w:r>
    </w:p>
    <w:p w14:paraId="2EE10C97" w14:textId="77777777" w:rsidR="00856570" w:rsidRPr="008B2CB7" w:rsidRDefault="00856570" w:rsidP="00856570">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cars and insurance are unaffordable</w:t>
      </w:r>
    </w:p>
    <w:p w14:paraId="0AACD55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Public transport is often infrequent, unsafe or incompatible with anxiety and part-time hours, especially in rural areas.</w:t>
      </w:r>
    </w:p>
    <w:p w14:paraId="23817EA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highlight the impact of schemes such as travel passes and moped initiatives, while stressing their fragility when funding is short-term.</w:t>
      </w:r>
    </w:p>
    <w:p w14:paraId="39E5169A"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Transport must be:</w:t>
      </w:r>
    </w:p>
    <w:p w14:paraId="24A0D96E" w14:textId="77777777" w:rsidR="00856570" w:rsidRPr="008B2CB7" w:rsidRDefault="00856570" w:rsidP="00856570">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safe</w:t>
      </w:r>
    </w:p>
    <w:p w14:paraId="49C20F60" w14:textId="77777777" w:rsidR="00856570" w:rsidRPr="008B2CB7" w:rsidRDefault="00856570" w:rsidP="00856570">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sustained</w:t>
      </w:r>
    </w:p>
    <w:p w14:paraId="34D4BB7B" w14:textId="77777777" w:rsidR="00856570" w:rsidRPr="008B2CB7" w:rsidRDefault="00856570" w:rsidP="00856570">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system-wide</w:t>
      </w:r>
    </w:p>
    <w:p w14:paraId="60291CD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not dependent on local goodwill.</w:t>
      </w:r>
    </w:p>
    <w:p w14:paraId="24448F65"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02B47867">
          <v:rect id="_x0000_i1050" style="width:0;height:1.5pt" o:hralign="center" o:hrstd="t" o:hr="t" fillcolor="#a0a0a0" stroked="f"/>
        </w:pict>
      </w:r>
    </w:p>
    <w:p w14:paraId="753DD201" w14:textId="5DBB90E3"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w:t>
      </w:r>
      <w:r w:rsidR="00795EB3" w:rsidRPr="008B2CB7">
        <w:rPr>
          <w:rFonts w:ascii="Calibri" w:eastAsia="Times New Roman" w:hAnsi="Calibri" w:cs="Calibri"/>
          <w:b/>
          <w:bCs/>
          <w:kern w:val="0"/>
          <w:sz w:val="36"/>
          <w:szCs w:val="36"/>
          <w:lang w:eastAsia="en-GB"/>
          <w14:ligatures w14:val="none"/>
        </w:rPr>
        <w:t>4</w:t>
      </w:r>
      <w:r w:rsidRPr="008B2CB7">
        <w:rPr>
          <w:rFonts w:ascii="Calibri" w:eastAsia="Times New Roman" w:hAnsi="Calibri" w:cs="Calibri"/>
          <w:b/>
          <w:bCs/>
          <w:kern w:val="0"/>
          <w:sz w:val="36"/>
          <w:szCs w:val="36"/>
          <w:lang w:eastAsia="en-GB"/>
          <w14:ligatures w14:val="none"/>
        </w:rPr>
        <w:t xml:space="preserve">. DWP must work </w:t>
      </w:r>
      <w:r w:rsidRPr="008B2CB7">
        <w:rPr>
          <w:rFonts w:ascii="Calibri" w:eastAsia="Times New Roman" w:hAnsi="Calibri" w:cs="Calibri"/>
          <w:b/>
          <w:bCs/>
          <w:i/>
          <w:iCs/>
          <w:kern w:val="0"/>
          <w:sz w:val="36"/>
          <w:szCs w:val="36"/>
          <w:lang w:eastAsia="en-GB"/>
          <w14:ligatures w14:val="none"/>
        </w:rPr>
        <w:t>with</w:t>
      </w:r>
      <w:r w:rsidRPr="008B2CB7">
        <w:rPr>
          <w:rFonts w:ascii="Calibri" w:eastAsia="Times New Roman" w:hAnsi="Calibri" w:cs="Calibri"/>
          <w:b/>
          <w:bCs/>
          <w:kern w:val="0"/>
          <w:sz w:val="36"/>
          <w:szCs w:val="36"/>
          <w:lang w:eastAsia="en-GB"/>
          <w14:ligatures w14:val="none"/>
        </w:rPr>
        <w:t xml:space="preserve"> education — not after it</w:t>
      </w:r>
    </w:p>
    <w:p w14:paraId="5FAE7908"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are clear that DWP cannot fix this alone.</w:t>
      </w:r>
    </w:p>
    <w:p w14:paraId="43660DB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Many drivers of disengagement sit within education and health systems. By the time Jobcentre Plus becomes involved, the damage is often already done.</w:t>
      </w:r>
    </w:p>
    <w:p w14:paraId="3D29B95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 have a 24-year-old who currently doesn’t work and only now has the Jobcentre decided they want to help.”</w:t>
      </w:r>
    </w:p>
    <w:p w14:paraId="04B91D59"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lastRenderedPageBreak/>
        <w:t xml:space="preserve">Parents </w:t>
      </w:r>
      <w:r w:rsidRPr="00D33835">
        <w:rPr>
          <w:rFonts w:ascii="Calibri" w:eastAsia="Times New Roman" w:hAnsi="Calibri" w:cs="Calibri"/>
          <w:kern w:val="0"/>
          <w:lang w:eastAsia="en-GB"/>
          <w14:ligatures w14:val="none"/>
        </w:rPr>
        <w:t>want joint accountability across ages 14–25,</w:t>
      </w:r>
      <w:r w:rsidRPr="008B2CB7">
        <w:rPr>
          <w:rFonts w:ascii="Calibri" w:eastAsia="Times New Roman" w:hAnsi="Calibri" w:cs="Calibri"/>
          <w:kern w:val="0"/>
          <w:lang w:eastAsia="en-GB"/>
          <w14:ligatures w14:val="none"/>
        </w:rPr>
        <w:t xml:space="preserve"> with shared responsibility between education, health, local government and employment services.</w:t>
      </w:r>
    </w:p>
    <w:p w14:paraId="4CA79CC6"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607BAA1C">
          <v:rect id="_x0000_i1051" style="width:0;height:1.5pt" o:hralign="center" o:hrstd="t" o:hr="t" fillcolor="#a0a0a0" stroked="f"/>
        </w:pict>
      </w:r>
    </w:p>
    <w:p w14:paraId="55362FAB" w14:textId="763363A1"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1</w:t>
      </w:r>
      <w:r w:rsidR="00795EB3" w:rsidRPr="008B2CB7">
        <w:rPr>
          <w:rFonts w:ascii="Calibri" w:eastAsia="Times New Roman" w:hAnsi="Calibri" w:cs="Calibri"/>
          <w:b/>
          <w:bCs/>
          <w:kern w:val="0"/>
          <w:sz w:val="36"/>
          <w:szCs w:val="36"/>
          <w:lang w:eastAsia="en-GB"/>
          <w14:ligatures w14:val="none"/>
        </w:rPr>
        <w:t>5</w:t>
      </w:r>
      <w:r w:rsidRPr="008B2CB7">
        <w:rPr>
          <w:rFonts w:ascii="Calibri" w:eastAsia="Times New Roman" w:hAnsi="Calibri" w:cs="Calibri"/>
          <w:b/>
          <w:bCs/>
          <w:kern w:val="0"/>
          <w:sz w:val="36"/>
          <w:szCs w:val="36"/>
          <w:lang w:eastAsia="en-GB"/>
          <w14:ligatures w14:val="none"/>
        </w:rPr>
        <w:t>. Local areas must be trusted, tasked and resourced</w:t>
      </w:r>
    </w:p>
    <w:p w14:paraId="1ACFA7DD"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Parents want local areas to be:</w:t>
      </w:r>
    </w:p>
    <w:p w14:paraId="2B677C9D" w14:textId="77777777" w:rsidR="00856570" w:rsidRPr="008B2CB7" w:rsidRDefault="00856570" w:rsidP="00856570">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tasked with identifying local need</w:t>
      </w:r>
    </w:p>
    <w:p w14:paraId="3C2456C5" w14:textId="77777777" w:rsidR="00856570" w:rsidRPr="008B2CB7" w:rsidRDefault="00856570" w:rsidP="00856570">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trusted to design local strategies</w:t>
      </w:r>
    </w:p>
    <w:p w14:paraId="5921A532" w14:textId="77777777" w:rsidR="00856570" w:rsidRPr="008B2CB7" w:rsidRDefault="00856570" w:rsidP="00856570">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resourced to deliver holistic, flexible programmes</w:t>
      </w:r>
    </w:p>
    <w:p w14:paraId="7ACB630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They are frustrated by:</w:t>
      </w:r>
    </w:p>
    <w:p w14:paraId="67A1F028" w14:textId="77777777" w:rsidR="00856570" w:rsidRPr="008B2CB7" w:rsidRDefault="00856570" w:rsidP="00856570">
      <w:pPr>
        <w:numPr>
          <w:ilvl w:val="0"/>
          <w:numId w:val="1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short-term, ring-fenced funding</w:t>
      </w:r>
    </w:p>
    <w:p w14:paraId="4A8723CB" w14:textId="77777777" w:rsidR="00856570" w:rsidRPr="008B2CB7" w:rsidRDefault="00856570" w:rsidP="00856570">
      <w:pPr>
        <w:numPr>
          <w:ilvl w:val="0"/>
          <w:numId w:val="1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fragmented reporting requirements</w:t>
      </w:r>
    </w:p>
    <w:p w14:paraId="3D7506DA" w14:textId="77777777" w:rsidR="00856570" w:rsidRPr="008B2CB7" w:rsidRDefault="00856570" w:rsidP="00856570">
      <w:pPr>
        <w:numPr>
          <w:ilvl w:val="0"/>
          <w:numId w:val="16"/>
        </w:num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inability to flex spend to address real barriers</w:t>
      </w:r>
    </w:p>
    <w:p w14:paraId="4D94A672"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Local intelligence exists. What is missing is permission, stability and resource.</w:t>
      </w:r>
    </w:p>
    <w:p w14:paraId="5AC247AB" w14:textId="77777777" w:rsidR="00856570" w:rsidRPr="008B2CB7" w:rsidRDefault="002447B0" w:rsidP="00856570">
      <w:pPr>
        <w:spacing w:after="0"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pict w14:anchorId="0339D1D7">
          <v:rect id="_x0000_i1052" style="width:0;height:1.5pt" o:hralign="center" o:hrstd="t" o:hr="t" fillcolor="#a0a0a0" stroked="f"/>
        </w:pict>
      </w:r>
    </w:p>
    <w:p w14:paraId="6A44464E" w14:textId="77777777" w:rsidR="00856570" w:rsidRPr="008B2CB7" w:rsidRDefault="00856570" w:rsidP="00856570">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sidRPr="008B2CB7">
        <w:rPr>
          <w:rFonts w:ascii="Calibri" w:eastAsia="Times New Roman" w:hAnsi="Calibri" w:cs="Calibri"/>
          <w:b/>
          <w:bCs/>
          <w:kern w:val="0"/>
          <w:sz w:val="36"/>
          <w:szCs w:val="36"/>
          <w:lang w:eastAsia="en-GB"/>
          <w14:ligatures w14:val="none"/>
        </w:rPr>
        <w:t>Final reflection from parent carers</w:t>
      </w:r>
    </w:p>
    <w:p w14:paraId="584A20B6"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kern w:val="0"/>
          <w:lang w:eastAsia="en-GB"/>
          <w14:ligatures w14:val="none"/>
        </w:rPr>
        <w:t>“</w:t>
      </w:r>
      <w:r w:rsidRPr="00D33835">
        <w:rPr>
          <w:rFonts w:ascii="Calibri" w:eastAsia="Times New Roman" w:hAnsi="Calibri" w:cs="Calibri"/>
          <w:kern w:val="0"/>
          <w:lang w:eastAsia="en-GB"/>
          <w14:ligatures w14:val="none"/>
        </w:rPr>
        <w:t>All young people and dependent adults are entitled, by being given life in the first place, to a life that includes social interaction, education and potentially preparation for work.”</w:t>
      </w:r>
    </w:p>
    <w:p w14:paraId="2ED5C20E"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Neurodivergent young people may require divergent routes to adulthood. Success cannot be defined by speed or conformity.</w:t>
      </w:r>
    </w:p>
    <w:p w14:paraId="5982680E" w14:textId="77777777" w:rsidR="00856570" w:rsidRPr="00D33835"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Alternative pathways towards learning and employment must be identified, funded and sustained, allowing time, space, practice and consistent support.</w:t>
      </w:r>
    </w:p>
    <w:p w14:paraId="7ADEBA2C"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D33835">
        <w:rPr>
          <w:rFonts w:ascii="Calibri" w:eastAsia="Times New Roman" w:hAnsi="Calibri" w:cs="Calibri"/>
          <w:kern w:val="0"/>
          <w:lang w:eastAsia="en-GB"/>
          <w14:ligatures w14:val="none"/>
        </w:rPr>
        <w:t>Early intervention, not crisis intervention.</w:t>
      </w:r>
      <w:r w:rsidRPr="008B2CB7">
        <w:rPr>
          <w:rFonts w:ascii="Calibri" w:eastAsia="Times New Roman" w:hAnsi="Calibri" w:cs="Calibri"/>
          <w:kern w:val="0"/>
          <w:lang w:eastAsia="en-GB"/>
          <w14:ligatures w14:val="none"/>
        </w:rPr>
        <w:br/>
        <w:t>Support children before disengagement becomes isolation.</w:t>
      </w:r>
    </w:p>
    <w:p w14:paraId="4D992910"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r w:rsidRPr="008B2CB7">
        <w:rPr>
          <w:rFonts w:ascii="Calibri" w:eastAsia="Times New Roman" w:hAnsi="Calibri" w:cs="Calibri"/>
          <w:b/>
          <w:bCs/>
          <w:kern w:val="0"/>
          <w:lang w:eastAsia="en-GB"/>
          <w14:ligatures w14:val="none"/>
        </w:rPr>
        <w:t>The system is failing young people — early, repeatedly and predictably.</w:t>
      </w:r>
      <w:r w:rsidRPr="008B2CB7">
        <w:rPr>
          <w:rFonts w:ascii="Calibri" w:eastAsia="Times New Roman" w:hAnsi="Calibri" w:cs="Calibri"/>
          <w:b/>
          <w:bCs/>
          <w:kern w:val="0"/>
          <w:lang w:eastAsia="en-GB"/>
          <w14:ligatures w14:val="none"/>
        </w:rPr>
        <w:br/>
        <w:t>It can be fixed by being person-centred, not department-siloed.</w:t>
      </w:r>
    </w:p>
    <w:p w14:paraId="0D44521B" w14:textId="77777777" w:rsidR="00856570" w:rsidRPr="008B2CB7" w:rsidRDefault="00856570" w:rsidP="00856570">
      <w:pPr>
        <w:pBdr>
          <w:bottom w:val="single" w:sz="6" w:space="1" w:color="auto"/>
        </w:pBdr>
        <w:spacing w:after="0" w:line="240" w:lineRule="auto"/>
        <w:jc w:val="center"/>
        <w:rPr>
          <w:rFonts w:ascii="Calibri" w:eastAsia="Times New Roman" w:hAnsi="Calibri" w:cs="Calibri"/>
          <w:vanish/>
          <w:kern w:val="0"/>
          <w:sz w:val="16"/>
          <w:szCs w:val="16"/>
          <w:lang w:eastAsia="en-GB"/>
          <w14:ligatures w14:val="none"/>
        </w:rPr>
      </w:pPr>
      <w:r w:rsidRPr="008B2CB7">
        <w:rPr>
          <w:rFonts w:ascii="Calibri" w:eastAsia="Times New Roman" w:hAnsi="Calibri" w:cs="Calibri"/>
          <w:vanish/>
          <w:kern w:val="0"/>
          <w:sz w:val="16"/>
          <w:szCs w:val="16"/>
          <w:lang w:eastAsia="en-GB"/>
          <w14:ligatures w14:val="none"/>
        </w:rPr>
        <w:t>Top of Form</w:t>
      </w:r>
    </w:p>
    <w:p w14:paraId="110E82FE" w14:textId="77777777" w:rsidR="00856570" w:rsidRPr="008B2CB7" w:rsidRDefault="00856570" w:rsidP="00856570">
      <w:pPr>
        <w:spacing w:before="100" w:beforeAutospacing="1" w:after="100" w:afterAutospacing="1" w:line="240" w:lineRule="auto"/>
        <w:rPr>
          <w:rFonts w:ascii="Calibri" w:eastAsia="Times New Roman" w:hAnsi="Calibri" w:cs="Calibri"/>
          <w:kern w:val="0"/>
          <w:lang w:eastAsia="en-GB"/>
          <w14:ligatures w14:val="none"/>
        </w:rPr>
      </w:pPr>
    </w:p>
    <w:p w14:paraId="74C4120D" w14:textId="77777777" w:rsidR="00856570" w:rsidRPr="008B2CB7" w:rsidRDefault="00856570" w:rsidP="00856570">
      <w:pPr>
        <w:pBdr>
          <w:top w:val="single" w:sz="6" w:space="1" w:color="auto"/>
        </w:pBdr>
        <w:spacing w:after="0" w:line="240" w:lineRule="auto"/>
        <w:jc w:val="center"/>
        <w:rPr>
          <w:rFonts w:ascii="Calibri" w:eastAsia="Times New Roman" w:hAnsi="Calibri" w:cs="Calibri"/>
          <w:vanish/>
          <w:kern w:val="0"/>
          <w:sz w:val="16"/>
          <w:szCs w:val="16"/>
          <w:lang w:eastAsia="en-GB"/>
          <w14:ligatures w14:val="none"/>
        </w:rPr>
      </w:pPr>
      <w:r w:rsidRPr="008B2CB7">
        <w:rPr>
          <w:rFonts w:ascii="Calibri" w:eastAsia="Times New Roman" w:hAnsi="Calibri" w:cs="Calibri"/>
          <w:vanish/>
          <w:kern w:val="0"/>
          <w:sz w:val="16"/>
          <w:szCs w:val="16"/>
          <w:lang w:eastAsia="en-GB"/>
          <w14:ligatures w14:val="none"/>
        </w:rPr>
        <w:t>Bottom of Form</w:t>
      </w:r>
    </w:p>
    <w:p w14:paraId="54AD39F0" w14:textId="77777777" w:rsidR="00C34AA4" w:rsidRPr="008B2CB7" w:rsidRDefault="00C34AA4">
      <w:pPr>
        <w:rPr>
          <w:rFonts w:ascii="Calibri" w:hAnsi="Calibri" w:cs="Calibri"/>
        </w:rPr>
      </w:pPr>
    </w:p>
    <w:sectPr w:rsidR="00C34AA4" w:rsidRPr="008B2CB7" w:rsidSect="008B2CB7">
      <w:pgSz w:w="11906" w:h="16838"/>
      <w:pgMar w:top="568" w:right="849"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569F"/>
    <w:multiLevelType w:val="multilevel"/>
    <w:tmpl w:val="C99C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17476"/>
    <w:multiLevelType w:val="multilevel"/>
    <w:tmpl w:val="48B6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8321B"/>
    <w:multiLevelType w:val="multilevel"/>
    <w:tmpl w:val="D790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65B5A"/>
    <w:multiLevelType w:val="multilevel"/>
    <w:tmpl w:val="9D5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6211E"/>
    <w:multiLevelType w:val="multilevel"/>
    <w:tmpl w:val="5708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54EF2"/>
    <w:multiLevelType w:val="multilevel"/>
    <w:tmpl w:val="C234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8568E"/>
    <w:multiLevelType w:val="multilevel"/>
    <w:tmpl w:val="965A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56D79"/>
    <w:multiLevelType w:val="multilevel"/>
    <w:tmpl w:val="83D6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B64E7"/>
    <w:multiLevelType w:val="multilevel"/>
    <w:tmpl w:val="8FD6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255EE7"/>
    <w:multiLevelType w:val="multilevel"/>
    <w:tmpl w:val="11AC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B268D"/>
    <w:multiLevelType w:val="multilevel"/>
    <w:tmpl w:val="3B6AC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B4284"/>
    <w:multiLevelType w:val="multilevel"/>
    <w:tmpl w:val="0F72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C09FA"/>
    <w:multiLevelType w:val="multilevel"/>
    <w:tmpl w:val="E4E2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FC3709"/>
    <w:multiLevelType w:val="multilevel"/>
    <w:tmpl w:val="39DA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FF02CC"/>
    <w:multiLevelType w:val="multilevel"/>
    <w:tmpl w:val="1764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53E34"/>
    <w:multiLevelType w:val="multilevel"/>
    <w:tmpl w:val="1C1A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F2BC0"/>
    <w:multiLevelType w:val="multilevel"/>
    <w:tmpl w:val="3038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D36706"/>
    <w:multiLevelType w:val="multilevel"/>
    <w:tmpl w:val="3726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C958EA"/>
    <w:multiLevelType w:val="multilevel"/>
    <w:tmpl w:val="7EAA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CC496E"/>
    <w:multiLevelType w:val="multilevel"/>
    <w:tmpl w:val="70BE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5514956">
    <w:abstractNumId w:val="7"/>
  </w:num>
  <w:num w:numId="2" w16cid:durableId="1030299321">
    <w:abstractNumId w:val="13"/>
  </w:num>
  <w:num w:numId="3" w16cid:durableId="2117822197">
    <w:abstractNumId w:val="19"/>
  </w:num>
  <w:num w:numId="4" w16cid:durableId="131486994">
    <w:abstractNumId w:val="0"/>
  </w:num>
  <w:num w:numId="5" w16cid:durableId="421529501">
    <w:abstractNumId w:val="12"/>
  </w:num>
  <w:num w:numId="6" w16cid:durableId="1724254281">
    <w:abstractNumId w:val="9"/>
  </w:num>
  <w:num w:numId="7" w16cid:durableId="1324318369">
    <w:abstractNumId w:val="1"/>
  </w:num>
  <w:num w:numId="8" w16cid:durableId="1703359993">
    <w:abstractNumId w:val="8"/>
  </w:num>
  <w:num w:numId="9" w16cid:durableId="887961275">
    <w:abstractNumId w:val="10"/>
  </w:num>
  <w:num w:numId="10" w16cid:durableId="1257783967">
    <w:abstractNumId w:val="17"/>
  </w:num>
  <w:num w:numId="11" w16cid:durableId="2050645942">
    <w:abstractNumId w:val="6"/>
  </w:num>
  <w:num w:numId="12" w16cid:durableId="209196809">
    <w:abstractNumId w:val="2"/>
  </w:num>
  <w:num w:numId="13" w16cid:durableId="23750955">
    <w:abstractNumId w:val="15"/>
  </w:num>
  <w:num w:numId="14" w16cid:durableId="1363558447">
    <w:abstractNumId w:val="14"/>
  </w:num>
  <w:num w:numId="15" w16cid:durableId="17197570">
    <w:abstractNumId w:val="4"/>
  </w:num>
  <w:num w:numId="16" w16cid:durableId="721489188">
    <w:abstractNumId w:val="3"/>
  </w:num>
  <w:num w:numId="17" w16cid:durableId="1068530218">
    <w:abstractNumId w:val="11"/>
  </w:num>
  <w:num w:numId="18" w16cid:durableId="1557663750">
    <w:abstractNumId w:val="18"/>
  </w:num>
  <w:num w:numId="19" w16cid:durableId="273291422">
    <w:abstractNumId w:val="16"/>
  </w:num>
  <w:num w:numId="20" w16cid:durableId="1316227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70"/>
    <w:rsid w:val="000F3DFD"/>
    <w:rsid w:val="002447B0"/>
    <w:rsid w:val="003E6E7B"/>
    <w:rsid w:val="005F569D"/>
    <w:rsid w:val="006212F9"/>
    <w:rsid w:val="00713F95"/>
    <w:rsid w:val="00795EB3"/>
    <w:rsid w:val="00856570"/>
    <w:rsid w:val="008A581B"/>
    <w:rsid w:val="008B14B2"/>
    <w:rsid w:val="008B2CB7"/>
    <w:rsid w:val="00BA69AA"/>
    <w:rsid w:val="00C34AA4"/>
    <w:rsid w:val="00D33835"/>
    <w:rsid w:val="00E76069"/>
    <w:rsid w:val="00F80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4BAB8592"/>
  <w15:chartTrackingRefBased/>
  <w15:docId w15:val="{DF5D85BC-D458-4051-95A8-ED49C52D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570"/>
    <w:rPr>
      <w:rFonts w:eastAsiaTheme="majorEastAsia" w:cstheme="majorBidi"/>
      <w:color w:val="272727" w:themeColor="text1" w:themeTint="D8"/>
    </w:rPr>
  </w:style>
  <w:style w:type="paragraph" w:styleId="Title">
    <w:name w:val="Title"/>
    <w:basedOn w:val="Normal"/>
    <w:next w:val="Normal"/>
    <w:link w:val="TitleChar"/>
    <w:uiPriority w:val="10"/>
    <w:qFormat/>
    <w:rsid w:val="00856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570"/>
    <w:pPr>
      <w:spacing w:before="160"/>
      <w:jc w:val="center"/>
    </w:pPr>
    <w:rPr>
      <w:i/>
      <w:iCs/>
      <w:color w:val="404040" w:themeColor="text1" w:themeTint="BF"/>
    </w:rPr>
  </w:style>
  <w:style w:type="character" w:customStyle="1" w:styleId="QuoteChar">
    <w:name w:val="Quote Char"/>
    <w:basedOn w:val="DefaultParagraphFont"/>
    <w:link w:val="Quote"/>
    <w:uiPriority w:val="29"/>
    <w:rsid w:val="00856570"/>
    <w:rPr>
      <w:i/>
      <w:iCs/>
      <w:color w:val="404040" w:themeColor="text1" w:themeTint="BF"/>
    </w:rPr>
  </w:style>
  <w:style w:type="paragraph" w:styleId="ListParagraph">
    <w:name w:val="List Paragraph"/>
    <w:basedOn w:val="Normal"/>
    <w:uiPriority w:val="34"/>
    <w:qFormat/>
    <w:rsid w:val="00856570"/>
    <w:pPr>
      <w:ind w:left="720"/>
      <w:contextualSpacing/>
    </w:pPr>
  </w:style>
  <w:style w:type="character" w:styleId="IntenseEmphasis">
    <w:name w:val="Intense Emphasis"/>
    <w:basedOn w:val="DefaultParagraphFont"/>
    <w:uiPriority w:val="21"/>
    <w:qFormat/>
    <w:rsid w:val="00856570"/>
    <w:rPr>
      <w:i/>
      <w:iCs/>
      <w:color w:val="0F4761" w:themeColor="accent1" w:themeShade="BF"/>
    </w:rPr>
  </w:style>
  <w:style w:type="paragraph" w:styleId="IntenseQuote">
    <w:name w:val="Intense Quote"/>
    <w:basedOn w:val="Normal"/>
    <w:next w:val="Normal"/>
    <w:link w:val="IntenseQuoteChar"/>
    <w:uiPriority w:val="30"/>
    <w:qFormat/>
    <w:rsid w:val="00856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570"/>
    <w:rPr>
      <w:i/>
      <w:iCs/>
      <w:color w:val="0F4761" w:themeColor="accent1" w:themeShade="BF"/>
    </w:rPr>
  </w:style>
  <w:style w:type="character" w:styleId="IntenseReference">
    <w:name w:val="Intense Reference"/>
    <w:basedOn w:val="DefaultParagraphFont"/>
    <w:uiPriority w:val="32"/>
    <w:qFormat/>
    <w:rsid w:val="008565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98248A83-1A73-44C9-BA43-98158E4F4646}">
  <ds:schemaRefs>
    <ds:schemaRef ds:uri="http://schemas.microsoft.com/sharepoint/v3/contenttype/forms"/>
  </ds:schemaRefs>
</ds:datastoreItem>
</file>

<file path=customXml/itemProps2.xml><?xml version="1.0" encoding="utf-8"?>
<ds:datastoreItem xmlns:ds="http://schemas.openxmlformats.org/officeDocument/2006/customXml" ds:itemID="{04FEB75A-C9E8-4CA7-B0CB-05341573B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062db-d538-4be1-bf71-a5b5081dac89"/>
    <ds:schemaRef ds:uri="972fb186-6132-4829-8a23-bd659a9b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412B1D-72FB-4D5B-9511-737EDDB175C3}">
  <ds:schemaRefs>
    <ds:schemaRef ds:uri="http://schemas.microsoft.com/office/2006/metadata/properties"/>
    <ds:schemaRef ds:uri="http://schemas.microsoft.com/office/infopath/2007/PartnerControls"/>
    <ds:schemaRef ds:uri="861062db-d538-4be1-bf71-a5b5081dac89"/>
    <ds:schemaRef ds:uri="972fb186-6132-4829-8a23-bd659a9b86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4326</Words>
  <Characters>24659</Characters>
  <Application>Microsoft Office Word</Application>
  <DocSecurity>0</DocSecurity>
  <Lines>205</Lines>
  <Paragraphs>57</Paragraphs>
  <ScaleCrop>false</ScaleCrop>
  <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Conboy</dc:creator>
  <cp:keywords/>
  <dc:description/>
  <cp:lastModifiedBy>Sarah Conboy</cp:lastModifiedBy>
  <cp:revision>2</cp:revision>
  <dcterms:created xsi:type="dcterms:W3CDTF">2026-01-27T06:33:00Z</dcterms:created>
  <dcterms:modified xsi:type="dcterms:W3CDTF">2026-01-27T06:33:00Z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b322e7a4-8309-4f28-9866-350249c7fe3f</vt:lpwstr>
  </property>
  <property fmtid="{D5CDD505-2E9C-101B-9397-08002B2CF9AE}" pid="3" name="ContentTypeId">
    <vt:lpwstr>0x01010007487D5C9855134BB672B31E0D4A6050</vt:lpwstr>
  </property>
  <property fmtid="{D5CDD505-2E9C-101B-9397-08002B2CF9AE}" pid="4" name="MediaServiceImageTags">
    <vt:lpwstr/>
  </property>
</Properties>
</file>